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2A" w:rsidRPr="00E73DB8" w:rsidRDefault="00385F2A" w:rsidP="002A255B">
      <w:pPr>
        <w:pStyle w:val="Ttulo1"/>
        <w:rPr>
          <w:rFonts w:ascii="Arial" w:hAnsi="Arial" w:cs="Arial"/>
          <w:bCs w:val="0"/>
          <w:sz w:val="24"/>
          <w:szCs w:val="24"/>
        </w:rPr>
      </w:pPr>
      <w:bookmarkStart w:id="0" w:name="_Toc336487898"/>
      <w:r w:rsidRPr="00E73DB8">
        <w:rPr>
          <w:rFonts w:ascii="Arial" w:hAnsi="Arial" w:cs="Arial"/>
          <w:bCs w:val="0"/>
          <w:sz w:val="24"/>
          <w:szCs w:val="24"/>
        </w:rPr>
        <w:t>NOMBRE DEL PROYECTO</w:t>
      </w:r>
      <w:bookmarkEnd w:id="0"/>
    </w:p>
    <w:p w:rsidR="00385F2A" w:rsidRPr="002A255B" w:rsidRDefault="00385F2A" w:rsidP="00171A61">
      <w:pPr>
        <w:autoSpaceDE w:val="0"/>
        <w:autoSpaceDN w:val="0"/>
        <w:adjustRightInd w:val="0"/>
        <w:spacing w:after="0" w:line="240" w:lineRule="auto"/>
        <w:jc w:val="both"/>
        <w:rPr>
          <w:rFonts w:ascii="Arial" w:hAnsi="Arial" w:cs="Arial"/>
          <w:sz w:val="24"/>
          <w:szCs w:val="24"/>
        </w:rPr>
      </w:pPr>
    </w:p>
    <w:p w:rsidR="00E644A0" w:rsidRDefault="00A739DD" w:rsidP="00E644A0">
      <w:pPr>
        <w:jc w:val="both"/>
        <w:rPr>
          <w:rFonts w:ascii="Arial" w:hAnsi="Arial" w:cs="Arial"/>
          <w:bCs/>
          <w:sz w:val="24"/>
          <w:szCs w:val="24"/>
        </w:rPr>
      </w:pPr>
      <w:r>
        <w:rPr>
          <w:rFonts w:ascii="Arial" w:hAnsi="Arial" w:cs="Arial"/>
          <w:bCs/>
          <w:sz w:val="24"/>
          <w:szCs w:val="24"/>
        </w:rPr>
        <w:t>Implementación de un modelo de acceso y permanencia en educación técnica profesional y tecnológica en el norte del cauca.</w:t>
      </w:r>
    </w:p>
    <w:p w:rsidR="00E644A0" w:rsidRDefault="00E644A0" w:rsidP="00E644A0">
      <w:pPr>
        <w:spacing w:after="0" w:line="240" w:lineRule="auto"/>
        <w:jc w:val="both"/>
        <w:rPr>
          <w:rFonts w:ascii="Arial" w:hAnsi="Arial" w:cs="Arial"/>
        </w:rPr>
      </w:pPr>
    </w:p>
    <w:p w:rsidR="00385F2A" w:rsidRPr="00E73DB8" w:rsidRDefault="00385F2A" w:rsidP="00F157FC">
      <w:pPr>
        <w:pStyle w:val="Ttulo1"/>
        <w:numPr>
          <w:ilvl w:val="0"/>
          <w:numId w:val="40"/>
        </w:numPr>
        <w:ind w:left="426" w:hanging="426"/>
        <w:rPr>
          <w:rFonts w:ascii="Arial" w:hAnsi="Arial" w:cs="Arial"/>
          <w:bCs w:val="0"/>
          <w:sz w:val="24"/>
          <w:szCs w:val="24"/>
        </w:rPr>
      </w:pPr>
      <w:bookmarkStart w:id="1" w:name="_Toc336487904"/>
      <w:r w:rsidRPr="00E73DB8">
        <w:rPr>
          <w:rFonts w:ascii="Arial" w:hAnsi="Arial" w:cs="Arial"/>
          <w:bCs w:val="0"/>
          <w:sz w:val="24"/>
          <w:szCs w:val="24"/>
        </w:rPr>
        <w:t>IDENTIFICACIÓN Y DESCRIPCIÓN DEL PROBLEMA O NECESIDAD</w:t>
      </w:r>
      <w:bookmarkEnd w:id="1"/>
    </w:p>
    <w:p w:rsidR="00385F2A" w:rsidRPr="002A255B" w:rsidRDefault="00385F2A" w:rsidP="00171A61">
      <w:pPr>
        <w:autoSpaceDE w:val="0"/>
        <w:autoSpaceDN w:val="0"/>
        <w:adjustRightInd w:val="0"/>
        <w:spacing w:after="0" w:line="240" w:lineRule="auto"/>
        <w:jc w:val="both"/>
        <w:rPr>
          <w:rFonts w:ascii="Arial" w:hAnsi="Arial" w:cs="Arial"/>
          <w:b/>
          <w:bCs/>
          <w:sz w:val="24"/>
          <w:szCs w:val="24"/>
        </w:rPr>
      </w:pPr>
    </w:p>
    <w:p w:rsidR="00385F2A" w:rsidRPr="002A255B" w:rsidRDefault="00385F2A" w:rsidP="00171A61">
      <w:pPr>
        <w:autoSpaceDE w:val="0"/>
        <w:autoSpaceDN w:val="0"/>
        <w:adjustRightInd w:val="0"/>
        <w:jc w:val="both"/>
        <w:rPr>
          <w:rFonts w:ascii="Arial" w:hAnsi="Arial" w:cs="Arial"/>
          <w:sz w:val="24"/>
          <w:szCs w:val="24"/>
          <w:lang w:val="es-MX" w:eastAsia="es-CO"/>
        </w:rPr>
      </w:pPr>
      <w:r w:rsidRPr="002A255B">
        <w:rPr>
          <w:rFonts w:ascii="Arial" w:hAnsi="Arial" w:cs="Arial"/>
          <w:sz w:val="24"/>
          <w:szCs w:val="24"/>
          <w:lang w:val="es-MX" w:eastAsia="es-CO"/>
        </w:rPr>
        <w:t>De acuerdo con estudios del Banco de la República, la pobreza es un problema transversal en todo el Cauca, sin importar su ubicación o etnia</w:t>
      </w:r>
      <w:r w:rsidRPr="002A255B">
        <w:rPr>
          <w:rFonts w:ascii="Arial" w:hAnsi="Arial" w:cs="Arial"/>
          <w:sz w:val="24"/>
          <w:szCs w:val="24"/>
          <w:vertAlign w:val="superscript"/>
          <w:lang w:val="es-MX" w:eastAsia="es-CO"/>
        </w:rPr>
        <w:footnoteReference w:id="1"/>
      </w:r>
      <w:r w:rsidRPr="002A255B">
        <w:rPr>
          <w:rFonts w:ascii="Arial" w:hAnsi="Arial" w:cs="Arial"/>
          <w:sz w:val="24"/>
          <w:szCs w:val="24"/>
          <w:lang w:val="es-MX" w:eastAsia="es-CO"/>
        </w:rPr>
        <w:t xml:space="preserve">. De acuerdo con cifras del DNP, la pobreza por ingresos en el Cauca incide en el 70% de la población. Mientras en Colombia la pobreza cedió en más de 8 puntos porcentuales entre los años 2002 y 2009 y la mayoría de los departamentos mostraron avances significativos en reducción de la pobreza, sólo tres departamentos de la nación no pudieron reducirla, entre ellos el Cauca. Aún peor, este departamento fue el que más incrementó los niveles de pobreza por ingresos de los hogares en tal período (más de 4%). El índice de necesidades básicas insatisfechas </w:t>
      </w:r>
      <w:proofErr w:type="spellStart"/>
      <w:r w:rsidRPr="002A255B">
        <w:rPr>
          <w:rFonts w:ascii="Arial" w:hAnsi="Arial" w:cs="Arial"/>
          <w:sz w:val="24"/>
          <w:szCs w:val="24"/>
          <w:lang w:val="es-MX" w:eastAsia="es-CO"/>
        </w:rPr>
        <w:t>NBI</w:t>
      </w:r>
      <w:proofErr w:type="spellEnd"/>
      <w:r w:rsidRPr="002A255B">
        <w:rPr>
          <w:rFonts w:ascii="Arial" w:hAnsi="Arial" w:cs="Arial"/>
          <w:sz w:val="24"/>
          <w:szCs w:val="24"/>
          <w:lang w:val="es-MX" w:eastAsia="es-CO"/>
        </w:rPr>
        <w:t>, refleja las grandes dificultades sociales, en el caso de los municipios de Buenos Aires, Miranda, Suarez, Corinto y Caloto, tal como se aprecia en la Tabla No. 1. En general  son localidades caracterizadas por el empleo informal o subempleo y por el deterioro social por la falta de oportunidades laborales que desencadenan en crimen urbano y pandillas juveniles.</w:t>
      </w:r>
    </w:p>
    <w:p w:rsidR="00385F2A" w:rsidRPr="002A255B" w:rsidRDefault="00385F2A" w:rsidP="00A737F5">
      <w:pPr>
        <w:autoSpaceDE w:val="0"/>
        <w:autoSpaceDN w:val="0"/>
        <w:adjustRightInd w:val="0"/>
        <w:spacing w:after="0" w:line="240" w:lineRule="auto"/>
        <w:contextualSpacing/>
        <w:rPr>
          <w:rFonts w:ascii="Arial" w:hAnsi="Arial" w:cs="Arial"/>
          <w:sz w:val="24"/>
          <w:szCs w:val="24"/>
          <w:lang w:val="es-MX" w:eastAsia="es-CO"/>
        </w:rPr>
      </w:pPr>
      <w:r w:rsidRPr="002A255B">
        <w:rPr>
          <w:rFonts w:ascii="Arial" w:hAnsi="Arial" w:cs="Arial"/>
          <w:b/>
          <w:sz w:val="24"/>
          <w:szCs w:val="24"/>
          <w:lang w:val="es-MX" w:eastAsia="es-CO"/>
        </w:rPr>
        <w:t>Tabla 1.</w:t>
      </w:r>
      <w:r w:rsidRPr="002A255B">
        <w:rPr>
          <w:rFonts w:ascii="Arial" w:hAnsi="Arial" w:cs="Arial"/>
          <w:sz w:val="24"/>
          <w:szCs w:val="24"/>
          <w:lang w:val="es-MX" w:eastAsia="es-CO"/>
        </w:rPr>
        <w:t xml:space="preserve">  Necesidades básicas insatisfechas.</w:t>
      </w:r>
    </w:p>
    <w:tbl>
      <w:tblPr>
        <w:tblW w:w="0" w:type="auto"/>
        <w:tblLayout w:type="fixed"/>
        <w:tblLook w:val="00A0" w:firstRow="1" w:lastRow="0" w:firstColumn="1" w:lastColumn="0" w:noHBand="0" w:noVBand="0"/>
      </w:tblPr>
      <w:tblGrid>
        <w:gridCol w:w="1980"/>
        <w:gridCol w:w="1980"/>
        <w:gridCol w:w="2591"/>
        <w:gridCol w:w="1561"/>
      </w:tblGrid>
      <w:tr w:rsidR="00385F2A" w:rsidRPr="00493A74" w:rsidTr="002A255B">
        <w:trPr>
          <w:trHeight w:val="953"/>
          <w:tblHeader/>
        </w:trPr>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MUNICIPIO</w:t>
            </w:r>
          </w:p>
        </w:tc>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proofErr w:type="spellStart"/>
            <w:r w:rsidRPr="002A255B">
              <w:rPr>
                <w:rFonts w:ascii="Arial" w:hAnsi="Arial" w:cs="Arial"/>
                <w:b/>
                <w:bCs/>
                <w:sz w:val="24"/>
                <w:szCs w:val="24"/>
              </w:rPr>
              <w:t>NBI</w:t>
            </w:r>
            <w:proofErr w:type="spellEnd"/>
            <w:r w:rsidRPr="002A255B">
              <w:rPr>
                <w:rFonts w:ascii="Arial" w:hAnsi="Arial" w:cs="Arial"/>
                <w:b/>
                <w:bCs/>
                <w:sz w:val="24"/>
                <w:szCs w:val="24"/>
              </w:rPr>
              <w:t xml:space="preserve"> (%)</w:t>
            </w:r>
          </w:p>
        </w:tc>
        <w:tc>
          <w:tcPr>
            <w:tcW w:w="259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Afrodescendiente (%)</w:t>
            </w:r>
          </w:p>
        </w:tc>
        <w:tc>
          <w:tcPr>
            <w:tcW w:w="156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Indígena (%)</w:t>
            </w:r>
          </w:p>
        </w:tc>
      </w:tr>
      <w:tr w:rsidR="00385F2A" w:rsidRPr="00493A74" w:rsidTr="002A255B">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Buenos Aires</w:t>
            </w:r>
          </w:p>
        </w:tc>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57.9</w:t>
            </w:r>
          </w:p>
        </w:tc>
        <w:tc>
          <w:tcPr>
            <w:tcW w:w="259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68.3</w:t>
            </w:r>
          </w:p>
        </w:tc>
        <w:tc>
          <w:tcPr>
            <w:tcW w:w="156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16.2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Caloto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48.7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61.4</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22.8</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Santander</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33.1</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19.4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Puerto Tejada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18.0</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97.3</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Villa Rica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30.7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96.0</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0.24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Padilla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22.2</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 xml:space="preserve">97.1 </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Miranda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50.3</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52.7</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17.2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Suarez</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59.6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58.2</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Corinto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53.6</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proofErr w:type="spellStart"/>
            <w:r w:rsidRPr="002A255B">
              <w:rPr>
                <w:rFonts w:ascii="Arial" w:hAnsi="Arial" w:cs="Arial"/>
                <w:sz w:val="24"/>
                <w:szCs w:val="24"/>
              </w:rPr>
              <w:lastRenderedPageBreak/>
              <w:t>Guachené</w:t>
            </w:r>
            <w:proofErr w:type="spellEnd"/>
            <w:r w:rsidRPr="002A255B">
              <w:rPr>
                <w:rStyle w:val="Refdenotaalpie"/>
                <w:rFonts w:ascii="Arial" w:hAnsi="Arial" w:cs="Arial"/>
                <w:sz w:val="24"/>
                <w:szCs w:val="24"/>
              </w:rPr>
              <w:footnoteReference w:id="2"/>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26.2</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Caldono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69.8</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Jámbalo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73.01</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Toribio</w:t>
            </w:r>
          </w:p>
        </w:tc>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61.58</w:t>
            </w:r>
          </w:p>
        </w:tc>
        <w:tc>
          <w:tcPr>
            <w:tcW w:w="259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bl>
    <w:p w:rsidR="00385F2A" w:rsidRDefault="00385F2A" w:rsidP="00A737F5">
      <w:pPr>
        <w:autoSpaceDE w:val="0"/>
        <w:autoSpaceDN w:val="0"/>
        <w:adjustRightInd w:val="0"/>
        <w:spacing w:after="0" w:line="240" w:lineRule="auto"/>
        <w:ind w:left="567" w:hanging="567"/>
        <w:contextualSpacing/>
        <w:jc w:val="both"/>
        <w:rPr>
          <w:b/>
          <w:sz w:val="16"/>
          <w:szCs w:val="16"/>
        </w:rPr>
      </w:pPr>
    </w:p>
    <w:p w:rsidR="00385F2A" w:rsidRDefault="00385F2A" w:rsidP="002A255B">
      <w:pPr>
        <w:autoSpaceDE w:val="0"/>
        <w:autoSpaceDN w:val="0"/>
        <w:adjustRightInd w:val="0"/>
        <w:spacing w:after="0" w:line="240" w:lineRule="auto"/>
        <w:ind w:left="851" w:hanging="851"/>
        <w:contextualSpacing/>
        <w:jc w:val="both"/>
        <w:rPr>
          <w:rFonts w:ascii="Arial" w:hAnsi="Arial" w:cs="Arial"/>
          <w:sz w:val="20"/>
          <w:szCs w:val="20"/>
        </w:rPr>
      </w:pPr>
      <w:r w:rsidRPr="002A255B">
        <w:rPr>
          <w:rFonts w:ascii="Arial" w:hAnsi="Arial" w:cs="Arial"/>
          <w:b/>
          <w:sz w:val="20"/>
          <w:szCs w:val="20"/>
        </w:rPr>
        <w:t>Fuente:</w:t>
      </w:r>
      <w:r>
        <w:rPr>
          <w:rFonts w:ascii="Arial" w:hAnsi="Arial" w:cs="Arial"/>
          <w:sz w:val="20"/>
          <w:szCs w:val="20"/>
        </w:rPr>
        <w:t xml:space="preserve"> </w:t>
      </w:r>
      <w:r w:rsidRPr="002A255B">
        <w:rPr>
          <w:rFonts w:ascii="Arial" w:hAnsi="Arial" w:cs="Arial"/>
          <w:sz w:val="20"/>
          <w:szCs w:val="20"/>
        </w:rPr>
        <w:t xml:space="preserve">Departamento Nacional de Planeación DNP - Sistema de Indicadores Sociales Departamentales y DANE –  </w:t>
      </w:r>
      <w:r>
        <w:rPr>
          <w:rFonts w:ascii="Arial" w:hAnsi="Arial" w:cs="Arial"/>
          <w:sz w:val="20"/>
          <w:szCs w:val="20"/>
        </w:rPr>
        <w:t>A</w:t>
      </w:r>
      <w:r w:rsidRPr="002A255B">
        <w:rPr>
          <w:rFonts w:ascii="Arial" w:hAnsi="Arial" w:cs="Arial"/>
          <w:sz w:val="20"/>
          <w:szCs w:val="20"/>
        </w:rPr>
        <w:t>nálisis regional de los principales indicadores sociodemográficos de la comunidad afrocolombiana e indígena a partir de la información del censo general</w:t>
      </w:r>
      <w:r>
        <w:rPr>
          <w:rFonts w:ascii="Arial" w:hAnsi="Arial" w:cs="Arial"/>
          <w:sz w:val="20"/>
          <w:szCs w:val="20"/>
        </w:rPr>
        <w:t>.</w:t>
      </w:r>
    </w:p>
    <w:p w:rsidR="00385F2A" w:rsidRPr="002A255B" w:rsidRDefault="00385F2A" w:rsidP="002A255B">
      <w:pPr>
        <w:autoSpaceDE w:val="0"/>
        <w:autoSpaceDN w:val="0"/>
        <w:adjustRightInd w:val="0"/>
        <w:spacing w:after="0" w:line="240" w:lineRule="auto"/>
        <w:ind w:left="567" w:hanging="567"/>
        <w:contextualSpacing/>
        <w:jc w:val="both"/>
        <w:rPr>
          <w:rFonts w:ascii="Arial" w:hAnsi="Arial" w:cs="Arial"/>
          <w:sz w:val="20"/>
          <w:szCs w:val="20"/>
        </w:rPr>
      </w:pP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Para las comunidades indígenas y afrodescendientes, la consecuencia de estos flagelos y problemáticas sociales ha sido la transformación negativa de los saberes ancestrales, la alteración de las formas de vida, desintegración familiar, la vulneración de sus derechos humanos y derechos fundamentales, la pérdida de sus especies nativas de fauna y flora, alteración negativa del medio ambiente, crecimiento de la violencia y de la pobreza lo que ha contribuido a disminuir su calidad de vida y a deteriorar la convivencia social</w:t>
      </w:r>
      <w:r w:rsidRPr="00A67F42">
        <w:rPr>
          <w:rFonts w:ascii="Arial" w:hAnsi="Arial" w:cs="Arial"/>
          <w:sz w:val="24"/>
          <w:szCs w:val="24"/>
          <w:vertAlign w:val="superscript"/>
          <w:lang w:val="es-MX" w:eastAsia="es-CO"/>
        </w:rPr>
        <w:footnoteReference w:id="3"/>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Según De </w:t>
      </w:r>
      <w:proofErr w:type="spellStart"/>
      <w:r w:rsidRPr="00A67F42">
        <w:rPr>
          <w:rFonts w:ascii="Arial" w:hAnsi="Arial" w:cs="Arial"/>
          <w:sz w:val="24"/>
          <w:szCs w:val="24"/>
          <w:lang w:val="es-MX" w:eastAsia="es-CO"/>
        </w:rPr>
        <w:t>Roux</w:t>
      </w:r>
      <w:proofErr w:type="spellEnd"/>
      <w:r w:rsidRPr="00A67F42">
        <w:rPr>
          <w:rFonts w:ascii="Arial" w:hAnsi="Arial" w:cs="Arial"/>
          <w:sz w:val="24"/>
          <w:szCs w:val="24"/>
          <w:vertAlign w:val="superscript"/>
          <w:lang w:val="es-MX" w:eastAsia="es-CO"/>
        </w:rPr>
        <w:footnoteReference w:id="4"/>
      </w:r>
      <w:r w:rsidRPr="00A67F42">
        <w:rPr>
          <w:rFonts w:ascii="Arial" w:hAnsi="Arial" w:cs="Arial"/>
          <w:sz w:val="24"/>
          <w:szCs w:val="24"/>
          <w:lang w:val="es-MX" w:eastAsia="es-CO"/>
        </w:rPr>
        <w:t xml:space="preserve"> en el informe </w:t>
      </w:r>
      <w:proofErr w:type="spellStart"/>
      <w:r w:rsidRPr="00A67F42">
        <w:rPr>
          <w:rFonts w:ascii="Arial" w:hAnsi="Arial" w:cs="Arial"/>
          <w:sz w:val="24"/>
          <w:szCs w:val="24"/>
          <w:lang w:val="es-MX" w:eastAsia="es-CO"/>
        </w:rPr>
        <w:t>ODM</w:t>
      </w:r>
      <w:proofErr w:type="spellEnd"/>
      <w:r w:rsidRPr="00A67F42">
        <w:rPr>
          <w:rFonts w:ascii="Arial" w:hAnsi="Arial" w:cs="Arial"/>
          <w:sz w:val="24"/>
          <w:szCs w:val="24"/>
          <w:lang w:val="es-MX" w:eastAsia="es-CO"/>
        </w:rPr>
        <w:t xml:space="preserve">, el índice de calidad de vida de la zona Norte del Cauca está muy por debajo del promedio nacional, lo que evidencia un bajo nivel de desarrollo social de los municipios, manifestado en el limitado bienestar de sus habitantes. Ello, a pesar de contar con suelos fértiles, disponibilidad de carreteras y haber sido cobijado por la ley de incentivos tributarios y arancelarios o Ley Páez. Si bien es cierto que la norma trajo una nueva dinámica económica con altos niveles de crecimiento productivo y mayor participación de la región en el PIB nacional, podemos decir el Cauca se ha visto beneficiado con la instalación de industrias prósperas, pero esta prosperidad no ha contribuido a reducir ni la pobreza ni las desigualdades sociales de las comunidades ni el número de hogares con </w:t>
      </w:r>
      <w:proofErr w:type="spellStart"/>
      <w:r w:rsidRPr="00A67F42">
        <w:rPr>
          <w:rFonts w:ascii="Arial" w:hAnsi="Arial" w:cs="Arial"/>
          <w:sz w:val="24"/>
          <w:szCs w:val="24"/>
          <w:lang w:val="es-MX" w:eastAsia="es-CO"/>
        </w:rPr>
        <w:t>NBI</w:t>
      </w:r>
      <w:proofErr w:type="spellEnd"/>
      <w:r w:rsidRPr="00A67F42">
        <w:rPr>
          <w:rFonts w:ascii="Arial" w:hAnsi="Arial" w:cs="Arial"/>
          <w:sz w:val="24"/>
          <w:szCs w:val="24"/>
          <w:lang w:val="es-MX" w:eastAsia="es-CO"/>
        </w:rPr>
        <w:t xml:space="preserve"> insatisfechas.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Aún a pesar de los esfuerzos realizados por instituciones de educación superior que decidieron aportar recursos e infraestructura para formar técnicos y tecnólogos instaladas en el norte del Cauca, el número de egresados es limitado para atender los requerimientos de las empresas que se constituyeron por la Ley </w:t>
      </w:r>
      <w:r w:rsidRPr="00A67F42">
        <w:rPr>
          <w:rFonts w:ascii="Arial" w:hAnsi="Arial" w:cs="Arial"/>
          <w:sz w:val="24"/>
          <w:szCs w:val="24"/>
          <w:lang w:val="es-MX" w:eastAsia="es-CO"/>
        </w:rPr>
        <w:lastRenderedPageBreak/>
        <w:t>Páez y las que ahora se asientan para aprovechar las ventajas de la recientemente creada</w:t>
      </w:r>
      <w:r>
        <w:rPr>
          <w:rFonts w:ascii="Arial" w:hAnsi="Arial" w:cs="Arial"/>
          <w:sz w:val="24"/>
          <w:szCs w:val="24"/>
          <w:lang w:val="es-MX" w:eastAsia="es-CO"/>
        </w:rPr>
        <w:t>s</w:t>
      </w:r>
      <w:r w:rsidRPr="00A67F42">
        <w:rPr>
          <w:rFonts w:ascii="Arial" w:hAnsi="Arial" w:cs="Arial"/>
          <w:sz w:val="24"/>
          <w:szCs w:val="24"/>
          <w:lang w:val="es-MX" w:eastAsia="es-CO"/>
        </w:rPr>
        <w:t xml:space="preserve"> zona</w:t>
      </w:r>
      <w:r>
        <w:rPr>
          <w:rFonts w:ascii="Arial" w:hAnsi="Arial" w:cs="Arial"/>
          <w:sz w:val="24"/>
          <w:szCs w:val="24"/>
          <w:lang w:val="es-MX" w:eastAsia="es-CO"/>
        </w:rPr>
        <w:t>s</w:t>
      </w:r>
      <w:r w:rsidRPr="00A67F42">
        <w:rPr>
          <w:rFonts w:ascii="Arial" w:hAnsi="Arial" w:cs="Arial"/>
          <w:sz w:val="24"/>
          <w:szCs w:val="24"/>
          <w:lang w:val="es-MX" w:eastAsia="es-CO"/>
        </w:rPr>
        <w:t xml:space="preserve"> franca</w:t>
      </w:r>
      <w:r>
        <w:rPr>
          <w:rFonts w:ascii="Arial" w:hAnsi="Arial" w:cs="Arial"/>
          <w:sz w:val="24"/>
          <w:szCs w:val="24"/>
          <w:lang w:val="es-MX" w:eastAsia="es-CO"/>
        </w:rPr>
        <w:t>s</w:t>
      </w:r>
      <w:r w:rsidRPr="00A67F42">
        <w:rPr>
          <w:rFonts w:ascii="Arial" w:hAnsi="Arial" w:cs="Arial"/>
          <w:sz w:val="24"/>
          <w:szCs w:val="24"/>
          <w:lang w:val="es-MX" w:eastAsia="es-CO"/>
        </w:rPr>
        <w:t xml:space="preserve">. Esto se debe en gran parte a las dificultades económicas de los aspirantes a la educación superior para ingresar y permanecer en el sistema y a las deficiencias de preparación académica con las que ingresan como producto de la baja calidad de niveles educativos previos. Los empresarios de la región han manifestado su preocupación por esta circunstancia y plantean la necesidad de apoyar una mayor matrícula de estudiantes en programas técnicos y tecnológicos en la región que sean pertinentes a sus necesidades productivas.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Es importante resaltar que el proyecto propuesto atenderá no solamente a población de escasos recursos económicos afectados por las problemáticas sociales descritas, sino además en su mayoría a población perteneciente a comunidades étnicas afrocolombianas e indígenas, puesto que como se aprecia en la Tabla No. 1, los municipios de incidencia del proyecto albergan estos grupos étnicos en una significativa mayor proporción y concentración en comparación con el territorio colombiano. Hay que registrar que en Colombia, según el censo de 2005, el 3.2% de la población es indígena y el 10% afrocolombiana, mientras que en la mayoría de los municipios seleccionados para el proyecto la población afrocolombiana llega a representar más del 60 y 90% y la indígena, entre el 16 y 22% en tres de las localidades en las que se cuenta con datos demográficos.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Otro punto diferenciador de la región objeto del proyecto es que, mientras en Colombia más del 70% de la población reside en zonas urbanas, en el Departamento del Cauca el 62% de sus habitantes reside en zonas rurales y en estas áreas rurales los índices de pobreza representan el doble de las urbanos, según el mismo estudio del Banco de la República</w:t>
      </w:r>
      <w:r w:rsidRPr="00A67F42">
        <w:rPr>
          <w:rFonts w:ascii="Arial" w:hAnsi="Arial" w:cs="Arial"/>
          <w:sz w:val="24"/>
          <w:szCs w:val="24"/>
          <w:vertAlign w:val="superscript"/>
          <w:lang w:val="es-MX" w:eastAsia="es-CO"/>
        </w:rPr>
        <w:footnoteReference w:id="5"/>
      </w:r>
      <w:r w:rsidRPr="00A67F42">
        <w:rPr>
          <w:rFonts w:ascii="Arial" w:hAnsi="Arial" w:cs="Arial"/>
          <w:sz w:val="24"/>
          <w:szCs w:val="24"/>
          <w:lang w:val="es-MX" w:eastAsia="es-CO"/>
        </w:rPr>
        <w:t>. Este estudio indica que los municipios que con mayor deterioro del ingreso económico en zonas rurales se encuentran en el norte del Cauca.</w:t>
      </w:r>
    </w:p>
    <w:p w:rsidR="00385F2A" w:rsidRPr="00E73DB8" w:rsidRDefault="00385F2A" w:rsidP="00F157FC">
      <w:pPr>
        <w:pStyle w:val="Ttulo2"/>
        <w:numPr>
          <w:ilvl w:val="1"/>
          <w:numId w:val="40"/>
        </w:numPr>
        <w:ind w:left="567" w:hanging="567"/>
        <w:jc w:val="both"/>
        <w:rPr>
          <w:rFonts w:ascii="Arial" w:hAnsi="Arial" w:cs="Arial"/>
          <w:i w:val="0"/>
          <w:sz w:val="24"/>
          <w:szCs w:val="24"/>
          <w:lang w:val="es-MX" w:eastAsia="es-CO"/>
        </w:rPr>
      </w:pPr>
      <w:bookmarkStart w:id="2" w:name="_Toc336487905"/>
      <w:r w:rsidRPr="00E73DB8">
        <w:rPr>
          <w:rFonts w:ascii="Arial" w:hAnsi="Arial" w:cs="Arial"/>
          <w:bCs w:val="0"/>
          <w:i w:val="0"/>
          <w:sz w:val="24"/>
          <w:szCs w:val="24"/>
          <w:lang w:val="es-MX" w:eastAsia="es-CO"/>
        </w:rPr>
        <w:t>PROBLEMÁTICAS EDUCATIVAS DE LA POBLACIÓN OBJETO DEL PROYECTO Y PROBLEMA A RESOLVER.</w:t>
      </w:r>
      <w:bookmarkEnd w:id="2"/>
    </w:p>
    <w:p w:rsidR="00385F2A" w:rsidRPr="00A67F42" w:rsidRDefault="00385F2A" w:rsidP="00171A61">
      <w:pPr>
        <w:jc w:val="both"/>
        <w:rPr>
          <w:rFonts w:ascii="Arial" w:hAnsi="Arial" w:cs="Arial"/>
          <w:sz w:val="24"/>
          <w:szCs w:val="24"/>
        </w:rPr>
      </w:pPr>
      <w:r w:rsidRPr="00A67F42">
        <w:rPr>
          <w:rFonts w:ascii="Arial" w:hAnsi="Arial" w:cs="Arial"/>
          <w:sz w:val="24"/>
          <w:szCs w:val="24"/>
          <w:lang w:eastAsia="es-CO"/>
        </w:rPr>
        <w:t xml:space="preserve">De acuerdo con el Ministerio Nacional de Educación, en el Cauca la tasa de cobertura bruta en educación superior en el año 2010 era 26,59%, lo que muestra que la región se encuentra casi 10 puntos porcentuales por debajo del promedio nacional de 37.1%. Esta cobertura educativa del Cauca contrasta fuertemente con la cobertura en Bogotá del 73.7%, Quindío  50.4%, Santander 48.0% y Antioquia 40.9%, entre otros. Adicional a ello, la mayor cantidad de estudiantes matriculados </w:t>
      </w:r>
      <w:r w:rsidRPr="00A67F42">
        <w:rPr>
          <w:rFonts w:ascii="Arial" w:hAnsi="Arial" w:cs="Arial"/>
          <w:sz w:val="24"/>
          <w:szCs w:val="24"/>
          <w:lang w:eastAsia="es-CO"/>
        </w:rPr>
        <w:lastRenderedPageBreak/>
        <w:t xml:space="preserve">en el Cauca se encuentra en Popayán. De 34.831 matriculados en todo el departamento </w:t>
      </w:r>
      <w:r w:rsidRPr="00A67F42">
        <w:rPr>
          <w:rFonts w:ascii="Arial" w:hAnsi="Arial" w:cs="Arial"/>
          <w:sz w:val="24"/>
          <w:szCs w:val="24"/>
        </w:rPr>
        <w:t xml:space="preserve">26.032 residen en Popayán, lo cual indica que solamente 8.799 caucanos de residentes en otros municipios acceden a la educación superior por fuera de Popayán. La alta concentración de la matrícula en Popayán contrasta también significativamente con la distribución de la población en el departamento, puesto que en la capital caucana la población llega al 20% del total del Cauca.  </w:t>
      </w: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Los grupos afrocolombianos e indígenas son los menos favorecidos en el acceso a la educación superior. Según cifras del Banco Mundial</w:t>
      </w:r>
      <w:r w:rsidRPr="00A67F42">
        <w:rPr>
          <w:rFonts w:ascii="Arial" w:hAnsi="Arial" w:cs="Arial"/>
          <w:sz w:val="24"/>
          <w:szCs w:val="24"/>
          <w:vertAlign w:val="superscript"/>
          <w:lang w:val="es-MX" w:eastAsia="es-CO"/>
        </w:rPr>
        <w:footnoteReference w:id="6"/>
      </w:r>
      <w:r w:rsidRPr="00A67F42">
        <w:rPr>
          <w:rFonts w:ascii="Arial" w:hAnsi="Arial" w:cs="Arial"/>
          <w:sz w:val="24"/>
          <w:szCs w:val="24"/>
          <w:lang w:val="es-MX" w:eastAsia="es-CO"/>
        </w:rPr>
        <w:t>, Los jóvenes afrocolombianos tienen una tasa de asistencia a educación superior ocho puntos por debajo del resto de la población y para las comunidades indígenas, de acuerdo con UNESCO-</w:t>
      </w:r>
      <w:proofErr w:type="spellStart"/>
      <w:r w:rsidRPr="00A67F42">
        <w:rPr>
          <w:rFonts w:ascii="Arial" w:hAnsi="Arial" w:cs="Arial"/>
          <w:sz w:val="24"/>
          <w:szCs w:val="24"/>
          <w:lang w:val="es-MX" w:eastAsia="es-CO"/>
        </w:rPr>
        <w:t>IESALC</w:t>
      </w:r>
      <w:proofErr w:type="spellEnd"/>
      <w:r w:rsidRPr="00A67F42">
        <w:rPr>
          <w:rFonts w:ascii="Arial" w:hAnsi="Arial" w:cs="Arial"/>
          <w:sz w:val="24"/>
          <w:szCs w:val="24"/>
          <w:lang w:val="es-MX" w:eastAsia="es-CO"/>
        </w:rPr>
        <w:t>, la tasa de participación apenas alcanza el 7% de la población.</w:t>
      </w:r>
      <w:r w:rsidRPr="00A67F42">
        <w:rPr>
          <w:rFonts w:ascii="Arial" w:hAnsi="Arial" w:cs="Arial"/>
          <w:sz w:val="24"/>
          <w:szCs w:val="24"/>
          <w:vertAlign w:val="superscript"/>
          <w:lang w:val="es-MX" w:eastAsia="es-CO"/>
        </w:rPr>
        <w:footnoteReference w:id="7"/>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Si bien es cierto que la tasa de cobertura en enseñanza secundaria media en el Cauca ha aumentado del 40.8% al 63% entre 2002 y 2009, los jóvenes caucanos tienen menos de la mitad de las posibilidades de hacer el tránsito entre la enseñanza secundaria y la educación superior que un joven promedio en Colombia, pues la tasa de absorción de bachilleres que se matriculan en la universidad es apenas del 30.1% en el Cauca frente al 67.5% en la nación.</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Si bien a partir de 2002, los jóvenes de menores ingresos accedieron en forma significativa a la educación superior pasando del 30,9% al  60% de los estudiantes de primer semestre en el año 2009, los niveles de deserción son alarmantes, casi la mitad de los que se matriculan (46.12%). En buena parte esta deserción se debe a la escasa preparación académica que se aprecia en un mayor número de estudiantes con puntajes más bajos en las pruebas de acceso a la ecuación superior Saber 11 y a las dificultades económicas, pues solamente el 17% de los estudiantes caucanos acceden a créditos del </w:t>
      </w:r>
      <w:proofErr w:type="spellStart"/>
      <w:r w:rsidRPr="00A67F42">
        <w:rPr>
          <w:rFonts w:ascii="Arial" w:hAnsi="Arial" w:cs="Arial"/>
          <w:sz w:val="24"/>
          <w:szCs w:val="24"/>
          <w:lang w:val="es-MX" w:eastAsia="es-CO"/>
        </w:rPr>
        <w:t>ICETEX</w:t>
      </w:r>
      <w:proofErr w:type="spellEnd"/>
      <w:r w:rsidRPr="00A67F42">
        <w:rPr>
          <w:rFonts w:ascii="Arial" w:hAnsi="Arial" w:cs="Arial"/>
          <w:sz w:val="24"/>
          <w:szCs w:val="24"/>
          <w:lang w:val="es-MX" w:eastAsia="es-CO"/>
        </w:rPr>
        <w:t>, esto equivalió en el año 2010 a 5.956 créditos educativos, de 34.831 estudiantes en todo el Departamento, de los cuales 20.132 pertenecen a hogares cuyos ingresos no superan los dos salarios mínimos</w:t>
      </w:r>
      <w:r w:rsidRPr="00A67F42">
        <w:rPr>
          <w:rStyle w:val="Refdenotaalpie"/>
          <w:rFonts w:ascii="Arial" w:hAnsi="Arial" w:cs="Arial"/>
          <w:sz w:val="24"/>
          <w:szCs w:val="24"/>
          <w:lang w:val="es-MX" w:eastAsia="es-CO"/>
        </w:rPr>
        <w:footnoteReference w:id="8"/>
      </w:r>
      <w:r w:rsidRPr="00A67F42">
        <w:rPr>
          <w:rFonts w:ascii="Arial" w:hAnsi="Arial" w:cs="Arial"/>
          <w:sz w:val="24"/>
          <w:szCs w:val="24"/>
          <w:lang w:val="es-MX" w:eastAsia="es-CO"/>
        </w:rPr>
        <w:t xml:space="preserve">. </w:t>
      </w:r>
    </w:p>
    <w:p w:rsidR="00385F2A" w:rsidRPr="00A67F42"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lastRenderedPageBreak/>
        <w:t xml:space="preserve">Particularmente los jóvenes de escasos recursos de los municipios de Puerto Tejada, </w:t>
      </w:r>
      <w:proofErr w:type="spellStart"/>
      <w:r w:rsidRPr="00A67F42">
        <w:rPr>
          <w:rFonts w:ascii="Arial" w:hAnsi="Arial" w:cs="Arial"/>
          <w:sz w:val="24"/>
          <w:szCs w:val="24"/>
          <w:lang w:val="es-MX" w:eastAsia="es-CO"/>
        </w:rPr>
        <w:t>Guachené</w:t>
      </w:r>
      <w:proofErr w:type="spellEnd"/>
      <w:r w:rsidRPr="00A67F42">
        <w:rPr>
          <w:rFonts w:ascii="Arial" w:hAnsi="Arial" w:cs="Arial"/>
          <w:sz w:val="24"/>
          <w:szCs w:val="24"/>
          <w:lang w:val="es-MX" w:eastAsia="es-CO"/>
        </w:rPr>
        <w:t>, Villa Rica, Padilla, Santander, Caloto, Buenos Aires, Suare</w:t>
      </w:r>
      <w:r>
        <w:rPr>
          <w:rFonts w:ascii="Arial" w:hAnsi="Arial" w:cs="Arial"/>
          <w:sz w:val="24"/>
          <w:szCs w:val="24"/>
          <w:lang w:val="es-MX" w:eastAsia="es-CO"/>
        </w:rPr>
        <w:t xml:space="preserve">z, Miranda, Corinto, Caldono, Jambaló y </w:t>
      </w:r>
      <w:proofErr w:type="spellStart"/>
      <w:r>
        <w:rPr>
          <w:rFonts w:ascii="Arial" w:hAnsi="Arial" w:cs="Arial"/>
          <w:sz w:val="24"/>
          <w:szCs w:val="24"/>
          <w:lang w:val="es-MX" w:eastAsia="es-CO"/>
        </w:rPr>
        <w:t>Toribí</w:t>
      </w:r>
      <w:r w:rsidRPr="00A67F42">
        <w:rPr>
          <w:rFonts w:ascii="Arial" w:hAnsi="Arial" w:cs="Arial"/>
          <w:sz w:val="24"/>
          <w:szCs w:val="24"/>
          <w:lang w:val="es-MX" w:eastAsia="es-CO"/>
        </w:rPr>
        <w:t>o</w:t>
      </w:r>
      <w:proofErr w:type="spellEnd"/>
      <w:r w:rsidRPr="00A67F42">
        <w:rPr>
          <w:rFonts w:ascii="Arial" w:hAnsi="Arial" w:cs="Arial"/>
          <w:sz w:val="24"/>
          <w:szCs w:val="24"/>
          <w:lang w:val="es-MX" w:eastAsia="es-CO"/>
        </w:rPr>
        <w:t xml:space="preserve">  tienen restringidas oportunidades de acceso a la educación superior de calidad que los forme en las competencias laborales requeridas para acceder al mercado laboral generado. Esta situación los pone en desventaja frente a la oferta de técnicos profesionales locales de mejores niveles de ingreso o de otros departamentos cercanos. Por este motivo se generan en la zona altos índices de desocupación y por lo tanto, pocas oportunidades de generación de ingresos y un empobrecimiento cada vez mayor que se ve reflejado en una gran descomposición social con presencia de violencia intrafamiliar, drogadicción, desintegración de las familias, desplazamiento, violencia contra los menores y trabajo infantil.</w:t>
      </w:r>
    </w:p>
    <w:p w:rsidR="00385F2A" w:rsidRPr="00046E5C" w:rsidRDefault="00385F2A" w:rsidP="00171A61">
      <w:pPr>
        <w:tabs>
          <w:tab w:val="num" w:pos="1080"/>
        </w:tabs>
        <w:jc w:val="both"/>
        <w:rPr>
          <w:rFonts w:ascii="Arial" w:hAnsi="Arial" w:cs="Arial"/>
          <w:sz w:val="24"/>
          <w:szCs w:val="24"/>
          <w:lang w:val="es-MX" w:eastAsia="es-CO"/>
        </w:rPr>
      </w:pPr>
      <w:r w:rsidRPr="00046E5C">
        <w:rPr>
          <w:rFonts w:ascii="Arial" w:hAnsi="Arial" w:cs="Arial"/>
          <w:sz w:val="24"/>
          <w:szCs w:val="24"/>
          <w:lang w:val="es-MX" w:eastAsia="es-CO"/>
        </w:rPr>
        <w:t xml:space="preserve">Algunos jóvenes, a pesar de sus menguadas economías intentan llegar a la educación superior, pero no lo logran debido a factores como la baja calidad de la educación media, que les impide superar los procesos de selección por los bajos puntajes obtenidos en las pruebas de estado y, los que logran pasar, terminan haciendo parte de las altas cifras de deserción de estos jóvenes en la educación superior. Este fenómeno de la alta deserción también se encuentra en la educación media secundaria, influenciado en gran medida por factores socioeconómicos de las familias. </w:t>
      </w:r>
      <w:r w:rsidR="00046E5C">
        <w:rPr>
          <w:rFonts w:ascii="Arial" w:hAnsi="Arial" w:cs="Arial"/>
          <w:sz w:val="24"/>
          <w:szCs w:val="24"/>
          <w:lang w:val="es-MX" w:eastAsia="es-CO"/>
        </w:rPr>
        <w:t>Todas</w:t>
      </w:r>
      <w:r w:rsidRPr="00046E5C">
        <w:rPr>
          <w:rFonts w:ascii="Arial" w:hAnsi="Arial" w:cs="Arial"/>
          <w:sz w:val="24"/>
          <w:szCs w:val="24"/>
          <w:lang w:val="es-MX" w:eastAsia="es-CO"/>
        </w:rPr>
        <w:t xml:space="preserve"> estas limitantes para acceder y concluir la educación superior impiden que los jóvenes de escasos recursos </w:t>
      </w:r>
      <w:proofErr w:type="gramStart"/>
      <w:r w:rsidRPr="00046E5C">
        <w:rPr>
          <w:rFonts w:ascii="Arial" w:hAnsi="Arial" w:cs="Arial"/>
          <w:sz w:val="24"/>
          <w:szCs w:val="24"/>
          <w:lang w:val="es-MX" w:eastAsia="es-CO"/>
        </w:rPr>
        <w:t>pueden</w:t>
      </w:r>
      <w:proofErr w:type="gramEnd"/>
      <w:r w:rsidRPr="00046E5C">
        <w:rPr>
          <w:rFonts w:ascii="Arial" w:hAnsi="Arial" w:cs="Arial"/>
          <w:sz w:val="24"/>
          <w:szCs w:val="24"/>
          <w:lang w:val="es-MX" w:eastAsia="es-CO"/>
        </w:rPr>
        <w:t xml:space="preserve"> encontrar alternativas para la empleabilidad.</w:t>
      </w:r>
    </w:p>
    <w:p w:rsidR="00385F2A"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t xml:space="preserve">De acuerdo con cifras de la Secretaría de Educación Departamental una mayor proporción de instituciones educativas del Cauca se encuentran en nivel bajo (48.08%) e Inferior (30.8%) en los resultados de las pruebas Saber 11, lo que muestra la necesidad de incrementar los niveles de formación de los estudiantes en el nivel medio, siendo las pruebas un aspecto básico para la admisión a las instituciones de educación superior. </w:t>
      </w:r>
    </w:p>
    <w:p w:rsidR="00385F2A" w:rsidRPr="00E53532" w:rsidRDefault="00385F2A" w:rsidP="00F157FC">
      <w:pPr>
        <w:pStyle w:val="Ttulo2"/>
        <w:numPr>
          <w:ilvl w:val="1"/>
          <w:numId w:val="40"/>
        </w:numPr>
        <w:ind w:left="567" w:hanging="567"/>
        <w:jc w:val="both"/>
        <w:rPr>
          <w:rFonts w:ascii="Arial" w:hAnsi="Arial" w:cs="Arial"/>
          <w:bCs w:val="0"/>
          <w:i w:val="0"/>
          <w:sz w:val="24"/>
          <w:szCs w:val="24"/>
          <w:lang w:val="es-MX" w:eastAsia="es-CO"/>
        </w:rPr>
      </w:pPr>
      <w:bookmarkStart w:id="3" w:name="_Toc336487906"/>
      <w:r w:rsidRPr="00E53532">
        <w:rPr>
          <w:rFonts w:ascii="Arial" w:hAnsi="Arial" w:cs="Arial"/>
          <w:bCs w:val="0"/>
          <w:i w:val="0"/>
          <w:sz w:val="24"/>
          <w:szCs w:val="24"/>
          <w:lang w:val="es-MX" w:eastAsia="es-CO"/>
        </w:rPr>
        <w:t>POLÍTICAS Y ESFUERZOS SOBRE ACCESO A LA EDUCACIÓN SUPERIOR.</w:t>
      </w:r>
      <w:bookmarkEnd w:id="3"/>
    </w:p>
    <w:p w:rsidR="00385F2A" w:rsidRPr="00983815" w:rsidRDefault="00385F2A" w:rsidP="00171A61">
      <w:pPr>
        <w:jc w:val="both"/>
        <w:rPr>
          <w:rFonts w:ascii="Arial" w:hAnsi="Arial" w:cs="Arial"/>
          <w:sz w:val="24"/>
          <w:szCs w:val="24"/>
          <w:lang w:val="es-MX" w:eastAsia="es-CO"/>
        </w:rPr>
      </w:pPr>
      <w:proofErr w:type="spellStart"/>
      <w:r w:rsidRPr="00A67F42">
        <w:rPr>
          <w:rFonts w:ascii="Arial" w:hAnsi="Arial" w:cs="Arial"/>
          <w:sz w:val="24"/>
          <w:szCs w:val="24"/>
          <w:lang w:val="es-MX" w:eastAsia="es-CO"/>
        </w:rPr>
        <w:t>McDonough</w:t>
      </w:r>
      <w:proofErr w:type="spellEnd"/>
      <w:r w:rsidRPr="00A67F42">
        <w:rPr>
          <w:rFonts w:ascii="Arial" w:hAnsi="Arial" w:cs="Arial"/>
          <w:sz w:val="24"/>
          <w:szCs w:val="24"/>
          <w:lang w:val="es-MX" w:eastAsia="es-CO"/>
        </w:rPr>
        <w:t xml:space="preserve"> y </w:t>
      </w:r>
      <w:proofErr w:type="spellStart"/>
      <w:r w:rsidRPr="00A67F42">
        <w:rPr>
          <w:rFonts w:ascii="Arial" w:hAnsi="Arial" w:cs="Arial"/>
          <w:sz w:val="24"/>
          <w:szCs w:val="24"/>
          <w:lang w:val="es-MX" w:eastAsia="es-CO"/>
        </w:rPr>
        <w:t>Fann</w:t>
      </w:r>
      <w:proofErr w:type="spellEnd"/>
      <w:r w:rsidRPr="00A67F42">
        <w:rPr>
          <w:rFonts w:ascii="Arial" w:hAnsi="Arial" w:cs="Arial"/>
          <w:sz w:val="24"/>
          <w:szCs w:val="24"/>
          <w:lang w:val="es-MX" w:eastAsia="es-CO"/>
        </w:rPr>
        <w:t xml:space="preserve"> encontraron en sus estudios que el estatus socioeconómico es el factor que más influye en el acceso a la educación superior, afectando las aspiraciones de los estudiantes, su admisión y su asistencia escolar. Dentro del estatus socioeconómico,</w:t>
      </w:r>
      <w:r w:rsidRPr="00493A74">
        <w:rPr>
          <w:rFonts w:ascii="Arial" w:hAnsi="Arial" w:cs="Arial"/>
          <w:lang w:val="es-MX" w:eastAsia="es-CO"/>
        </w:rPr>
        <w:t xml:space="preserve"> </w:t>
      </w:r>
      <w:r w:rsidRPr="00983815">
        <w:rPr>
          <w:rFonts w:ascii="Arial" w:hAnsi="Arial" w:cs="Arial"/>
          <w:sz w:val="24"/>
          <w:szCs w:val="24"/>
          <w:lang w:val="es-MX" w:eastAsia="es-CO"/>
        </w:rPr>
        <w:t xml:space="preserve">los estudios han demostrado que el nivel de pobreza predice en forma más significativa cómo los grupos con mayor desventaja </w:t>
      </w:r>
      <w:r w:rsidRPr="00983815">
        <w:rPr>
          <w:rFonts w:ascii="Arial" w:hAnsi="Arial" w:cs="Arial"/>
          <w:sz w:val="24"/>
          <w:szCs w:val="24"/>
          <w:lang w:val="es-MX" w:eastAsia="es-CO"/>
        </w:rPr>
        <w:lastRenderedPageBreak/>
        <w:t>económica son menos propensos a inscribirse y a asistir a la universidad.</w:t>
      </w:r>
      <w:r w:rsidRPr="00983815">
        <w:rPr>
          <w:rFonts w:ascii="Arial" w:hAnsi="Arial" w:cs="Arial"/>
          <w:sz w:val="24"/>
          <w:szCs w:val="24"/>
          <w:vertAlign w:val="superscript"/>
          <w:lang w:val="es-MX" w:eastAsia="es-CO"/>
        </w:rPr>
        <w:footnoteReference w:id="9"/>
      </w:r>
      <w:r w:rsidRPr="00983815">
        <w:rPr>
          <w:rFonts w:ascii="Arial" w:hAnsi="Arial" w:cs="Arial"/>
          <w:sz w:val="24"/>
          <w:szCs w:val="24"/>
          <w:vertAlign w:val="superscript"/>
          <w:lang w:val="es-MX" w:eastAsia="es-CO"/>
        </w:rPr>
        <w:t xml:space="preserve"> </w:t>
      </w:r>
      <w:r w:rsidRPr="00983815">
        <w:rPr>
          <w:rFonts w:ascii="Arial" w:hAnsi="Arial" w:cs="Arial"/>
          <w:sz w:val="24"/>
          <w:szCs w:val="24"/>
          <w:lang w:val="es-MX" w:eastAsia="es-CO"/>
        </w:rPr>
        <w:t xml:space="preserve">Entender el acceso a la educación superior significa ir más allá del punto de entrada de la matrícula para incluir el concepto de equidad y participación igualitaria que implica condiciones similares sin considerar género, etnia o ingreso económico, el contar con suficientes recursos (financieros, intelectuales y de información) y el lograr culminar con éxito el programa de estudios. Es precisamente en estas dimensiones que los esfuerzos en acceso a la educación se han desarrollado, ya sea en la política pública, por las instituciones educativas o por las organizaciones promotoras del desarrollo. Sin embargo, dichos esfuerzos abordan algunas de estas dimensiones en forma aislada y atienden una barrera específica de acceso, dejando otras por fuera que conllevan, en la mayoría de los casos, a que los jóvenes no ingresen a la educación o a que deserten en algún momento de ella sin obtener el diploma. </w:t>
      </w:r>
    </w:p>
    <w:p w:rsidR="00F157FC" w:rsidRDefault="00602140" w:rsidP="00602140">
      <w:pPr>
        <w:pStyle w:val="Ttulo1"/>
        <w:numPr>
          <w:ilvl w:val="1"/>
          <w:numId w:val="40"/>
        </w:numPr>
        <w:tabs>
          <w:tab w:val="left" w:pos="567"/>
        </w:tabs>
        <w:ind w:left="567" w:hanging="567"/>
        <w:rPr>
          <w:rFonts w:ascii="Arial" w:hAnsi="Arial" w:cs="Arial"/>
          <w:bCs w:val="0"/>
          <w:sz w:val="24"/>
          <w:szCs w:val="24"/>
        </w:rPr>
      </w:pPr>
      <w:bookmarkStart w:id="4" w:name="_Toc336487907"/>
      <w:r>
        <w:rPr>
          <w:rFonts w:ascii="Arial" w:hAnsi="Arial" w:cs="Arial"/>
          <w:bCs w:val="0"/>
          <w:sz w:val="24"/>
          <w:szCs w:val="24"/>
        </w:rPr>
        <w:t>DATOS PARA DILIGENCIAR LA MGA</w:t>
      </w:r>
      <w:bookmarkEnd w:id="4"/>
    </w:p>
    <w:p w:rsidR="00BE195F" w:rsidRPr="00BE195F" w:rsidRDefault="00BE195F" w:rsidP="00BE195F"/>
    <w:p w:rsidR="00A739DD" w:rsidRPr="00A739DD" w:rsidRDefault="00602140" w:rsidP="00A739DD">
      <w:pPr>
        <w:pStyle w:val="Prrafodelista"/>
        <w:numPr>
          <w:ilvl w:val="2"/>
          <w:numId w:val="40"/>
        </w:numPr>
        <w:autoSpaceDE w:val="0"/>
        <w:autoSpaceDN w:val="0"/>
        <w:adjustRightInd w:val="0"/>
        <w:spacing w:after="0" w:line="240" w:lineRule="auto"/>
        <w:ind w:left="0" w:firstLine="0"/>
        <w:jc w:val="both"/>
        <w:rPr>
          <w:rFonts w:ascii="Arial" w:hAnsi="Arial" w:cs="Arial"/>
          <w:sz w:val="24"/>
          <w:szCs w:val="24"/>
          <w:lang w:val="es-MX" w:eastAsia="es-CO"/>
        </w:rPr>
      </w:pPr>
      <w:bookmarkStart w:id="5" w:name="_Toc336487908"/>
      <w:r w:rsidRPr="00A739DD">
        <w:rPr>
          <w:rFonts w:ascii="Arial" w:hAnsi="Arial" w:cs="Arial"/>
          <w:b/>
          <w:sz w:val="24"/>
          <w:szCs w:val="24"/>
        </w:rPr>
        <w:t>Análisis del problema.</w:t>
      </w:r>
      <w:r w:rsidRPr="00A739DD">
        <w:rPr>
          <w:rFonts w:ascii="Arial" w:hAnsi="Arial" w:cs="Arial"/>
          <w:sz w:val="24"/>
          <w:szCs w:val="24"/>
        </w:rPr>
        <w:t xml:space="preserve"> </w:t>
      </w:r>
      <w:bookmarkEnd w:id="5"/>
      <w:r w:rsidR="00A739DD" w:rsidRPr="00A739DD">
        <w:rPr>
          <w:rFonts w:ascii="Arial" w:hAnsi="Arial" w:cs="Arial"/>
          <w:sz w:val="24"/>
          <w:szCs w:val="24"/>
          <w:lang w:val="es-MX" w:eastAsia="es-CO"/>
        </w:rPr>
        <w:t>El bajo nivel de cobertura en educación superior en los 13 municipios del norte del Cauca, evidencia que el 86% de los jóvenes entre 17 y 21 años de estas</w:t>
      </w:r>
      <w:r w:rsidR="00A739DD">
        <w:rPr>
          <w:rFonts w:ascii="Arial" w:hAnsi="Arial" w:cs="Arial"/>
          <w:sz w:val="24"/>
          <w:szCs w:val="24"/>
          <w:lang w:val="es-MX" w:eastAsia="es-CO"/>
        </w:rPr>
        <w:t xml:space="preserve"> </w:t>
      </w:r>
      <w:r w:rsidR="00A739DD" w:rsidRPr="00A739DD">
        <w:rPr>
          <w:rFonts w:ascii="Arial" w:hAnsi="Arial" w:cs="Arial"/>
          <w:sz w:val="24"/>
          <w:szCs w:val="24"/>
          <w:lang w:val="es-MX" w:eastAsia="es-CO"/>
        </w:rPr>
        <w:t xml:space="preserve">localidades se encuentra por fuera del sistema, lo cual </w:t>
      </w:r>
      <w:r w:rsidR="00A739DD">
        <w:rPr>
          <w:rFonts w:ascii="Arial" w:hAnsi="Arial" w:cs="Arial"/>
          <w:sz w:val="24"/>
          <w:szCs w:val="24"/>
          <w:lang w:val="es-MX" w:eastAsia="es-CO"/>
        </w:rPr>
        <w:t>p</w:t>
      </w:r>
      <w:r w:rsidR="00A739DD" w:rsidRPr="00A739DD">
        <w:rPr>
          <w:rFonts w:ascii="Arial" w:hAnsi="Arial" w:cs="Arial"/>
          <w:sz w:val="24"/>
          <w:szCs w:val="24"/>
          <w:lang w:val="es-MX" w:eastAsia="es-CO"/>
        </w:rPr>
        <w:t>roduce inequidad social por falta de oportunidades educativas y la persistencia de altos niveles de</w:t>
      </w:r>
      <w:r w:rsidR="00A739DD">
        <w:rPr>
          <w:rFonts w:ascii="Arial" w:hAnsi="Arial" w:cs="Arial"/>
          <w:sz w:val="24"/>
          <w:szCs w:val="24"/>
          <w:lang w:val="es-MX" w:eastAsia="es-CO"/>
        </w:rPr>
        <w:t xml:space="preserve"> pobreza, desempleo e inmovilidad social.</w:t>
      </w:r>
    </w:p>
    <w:p w:rsidR="006E1D00" w:rsidRDefault="006E1D00" w:rsidP="006E1D00">
      <w:pPr>
        <w:autoSpaceDE w:val="0"/>
        <w:autoSpaceDN w:val="0"/>
        <w:adjustRightInd w:val="0"/>
        <w:spacing w:after="0" w:line="240" w:lineRule="auto"/>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 xml:space="preserve">Efectos </w:t>
      </w:r>
      <w:r w:rsidR="00846416">
        <w:rPr>
          <w:rFonts w:ascii="Arial" w:hAnsi="Arial" w:cs="Arial"/>
          <w:b/>
          <w:sz w:val="24"/>
          <w:szCs w:val="24"/>
        </w:rPr>
        <w:t>Indi</w:t>
      </w:r>
      <w:r w:rsidRPr="00DE07F4">
        <w:rPr>
          <w:rFonts w:ascii="Arial" w:hAnsi="Arial" w:cs="Arial"/>
          <w:b/>
          <w:sz w:val="24"/>
          <w:szCs w:val="24"/>
        </w:rPr>
        <w:t>rectos</w:t>
      </w:r>
    </w:p>
    <w:p w:rsidR="00846416" w:rsidRDefault="00846416" w:rsidP="00846416">
      <w:pPr>
        <w:pStyle w:val="Prrafodelista"/>
        <w:autoSpaceDE w:val="0"/>
        <w:autoSpaceDN w:val="0"/>
        <w:adjustRightInd w:val="0"/>
        <w:spacing w:after="0" w:line="240" w:lineRule="auto"/>
        <w:ind w:left="567"/>
        <w:jc w:val="both"/>
        <w:rPr>
          <w:rFonts w:ascii="Arial" w:hAnsi="Arial" w:cs="Arial"/>
          <w:b/>
          <w:sz w:val="24"/>
          <w:szCs w:val="24"/>
        </w:rPr>
      </w:pPr>
    </w:p>
    <w:p w:rsidR="00846416" w:rsidRDefault="00846416" w:rsidP="00DB7781">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846416">
        <w:rPr>
          <w:rFonts w:ascii="Arial" w:hAnsi="Arial" w:cs="Arial"/>
          <w:sz w:val="24"/>
          <w:szCs w:val="24"/>
        </w:rPr>
        <w:t>Deterioro social, pandillas juveniles y alto grado de crimen urbano.</w:t>
      </w:r>
    </w:p>
    <w:p w:rsidR="00846416" w:rsidRPr="00846416"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846416" w:rsidP="00846416">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846416">
        <w:rPr>
          <w:rFonts w:ascii="Arial" w:hAnsi="Arial" w:cs="Arial"/>
          <w:sz w:val="24"/>
          <w:szCs w:val="24"/>
        </w:rPr>
        <w:t>Vulnerabilidad de los Derechos Humanos y Derechos Fundamentales.</w:t>
      </w:r>
    </w:p>
    <w:p w:rsidR="00846416" w:rsidRPr="00846416"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 xml:space="preserve">Efectos </w:t>
      </w:r>
      <w:r w:rsidR="00846416">
        <w:rPr>
          <w:rFonts w:ascii="Arial" w:hAnsi="Arial" w:cs="Arial"/>
          <w:b/>
          <w:sz w:val="24"/>
          <w:szCs w:val="24"/>
        </w:rPr>
        <w:t>Directos</w:t>
      </w:r>
    </w:p>
    <w:p w:rsidR="00135125" w:rsidRPr="00DE07F4" w:rsidRDefault="00135125" w:rsidP="00135125">
      <w:pPr>
        <w:pStyle w:val="Prrafodelista"/>
        <w:autoSpaceDE w:val="0"/>
        <w:autoSpaceDN w:val="0"/>
        <w:adjustRightInd w:val="0"/>
        <w:spacing w:after="0" w:line="240" w:lineRule="auto"/>
        <w:ind w:left="567"/>
        <w:jc w:val="both"/>
        <w:rPr>
          <w:rFonts w:ascii="Arial" w:hAnsi="Arial" w:cs="Arial"/>
          <w:b/>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Falta de oportunidades para validar/homologar en la educación superior conocimientos técnicos adquiridos por los estudiantes de 10 y 11</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Dificultades de los jóvenes para ser admitidos y permanecer en la educación superior</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Altos niveles de deserción estudiantil en la educación superior</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Programas de educación superior no pertinentes a las necesidades regionales</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Desempleo, exclusión y riesgo social (</w:t>
      </w:r>
      <w:proofErr w:type="spellStart"/>
      <w:r w:rsidRPr="00135125">
        <w:rPr>
          <w:rFonts w:ascii="Arial" w:hAnsi="Arial" w:cs="Arial"/>
          <w:sz w:val="24"/>
          <w:szCs w:val="24"/>
        </w:rPr>
        <w:t>pandillismo</w:t>
      </w:r>
      <w:proofErr w:type="spellEnd"/>
      <w:r w:rsidRPr="00135125">
        <w:rPr>
          <w:rFonts w:ascii="Arial" w:hAnsi="Arial" w:cs="Arial"/>
          <w:sz w:val="24"/>
          <w:szCs w:val="24"/>
        </w:rPr>
        <w:t>, drogadicción).</w:t>
      </w:r>
    </w:p>
    <w:p w:rsidR="00846416" w:rsidRPr="00846416" w:rsidRDefault="00846416" w:rsidP="00846416">
      <w:pPr>
        <w:pStyle w:val="Prrafodelista"/>
        <w:rPr>
          <w:rFonts w:ascii="Arial" w:hAnsi="Arial" w:cs="Arial"/>
          <w:sz w:val="24"/>
          <w:szCs w:val="24"/>
        </w:rPr>
      </w:pPr>
    </w:p>
    <w:p w:rsidR="00135125" w:rsidRP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Falta de acceso a la educación superior.</w:t>
      </w:r>
    </w:p>
    <w:p w:rsidR="00135125" w:rsidRDefault="00135125"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Pr="00DE07F4" w:rsidRDefault="00385F2A" w:rsidP="00846416">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Causa</w:t>
      </w:r>
      <w:r>
        <w:rPr>
          <w:rFonts w:ascii="Arial" w:hAnsi="Arial" w:cs="Arial"/>
          <w:b/>
          <w:sz w:val="24"/>
          <w:szCs w:val="24"/>
        </w:rPr>
        <w:t>s</w:t>
      </w:r>
      <w:r w:rsidRPr="00DE07F4">
        <w:rPr>
          <w:rFonts w:ascii="Arial" w:hAnsi="Arial" w:cs="Arial"/>
          <w:b/>
          <w:sz w:val="24"/>
          <w:szCs w:val="24"/>
        </w:rPr>
        <w:t xml:space="preserve"> Directas</w:t>
      </w:r>
    </w:p>
    <w:p w:rsidR="00DB7781" w:rsidRDefault="00DB7781" w:rsidP="00846416">
      <w:pPr>
        <w:pStyle w:val="Prrafodelista"/>
        <w:autoSpaceDE w:val="0"/>
        <w:autoSpaceDN w:val="0"/>
        <w:adjustRightInd w:val="0"/>
        <w:spacing w:after="0" w:line="240" w:lineRule="auto"/>
        <w:ind w:left="567"/>
        <w:jc w:val="both"/>
        <w:rPr>
          <w:rFonts w:ascii="Arial" w:hAnsi="Arial" w:cs="Arial"/>
          <w:b/>
          <w:sz w:val="24"/>
          <w:szCs w:val="24"/>
        </w:rPr>
      </w:pPr>
    </w:p>
    <w:p w:rsidR="003F1FD3" w:rsidRDefault="00E627AA"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E627AA">
        <w:rPr>
          <w:rFonts w:ascii="Arial" w:hAnsi="Arial" w:cs="Arial"/>
          <w:sz w:val="24"/>
          <w:szCs w:val="24"/>
        </w:rPr>
        <w:t>Escasa articulación de la educación superior con los niveles educativos previos y particularmente con I.E. de media técnica</w:t>
      </w:r>
      <w:r w:rsidR="003F1FD3" w:rsidRPr="003F1FD3">
        <w:rPr>
          <w:rFonts w:ascii="Arial" w:hAnsi="Arial" w:cs="Arial"/>
          <w:sz w:val="24"/>
          <w:szCs w:val="24"/>
        </w:rPr>
        <w:t>.</w:t>
      </w:r>
    </w:p>
    <w:p w:rsidR="003F1FD3" w:rsidRDefault="003F1FD3" w:rsidP="00846416">
      <w:pPr>
        <w:pStyle w:val="Prrafodelista"/>
        <w:autoSpaceDE w:val="0"/>
        <w:autoSpaceDN w:val="0"/>
        <w:adjustRightInd w:val="0"/>
        <w:spacing w:after="0" w:line="240" w:lineRule="auto"/>
        <w:ind w:left="1440"/>
        <w:jc w:val="both"/>
        <w:rPr>
          <w:rFonts w:ascii="Arial" w:hAnsi="Arial" w:cs="Arial"/>
          <w:sz w:val="24"/>
          <w:szCs w:val="24"/>
        </w:rPr>
      </w:pPr>
    </w:p>
    <w:p w:rsidR="007778DA" w:rsidRP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Baja preparación académica de los aspirantes a la educación superior.</w:t>
      </w:r>
    </w:p>
    <w:p w:rsidR="00135125" w:rsidRPr="00002CFB" w:rsidRDefault="00135125" w:rsidP="00846416">
      <w:pPr>
        <w:pStyle w:val="Prrafodelista"/>
        <w:autoSpaceDE w:val="0"/>
        <w:autoSpaceDN w:val="0"/>
        <w:adjustRightInd w:val="0"/>
        <w:spacing w:after="0" w:line="240" w:lineRule="auto"/>
        <w:ind w:left="567"/>
        <w:jc w:val="both"/>
        <w:rPr>
          <w:rFonts w:ascii="Arial" w:hAnsi="Arial" w:cs="Arial"/>
          <w:sz w:val="24"/>
          <w:szCs w:val="24"/>
        </w:rPr>
      </w:pPr>
    </w:p>
    <w:p w:rsidR="007778DA"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Desadaptación académica y cultural de los jóvenes a la vida universitaria</w:t>
      </w:r>
      <w:r>
        <w:rPr>
          <w:rFonts w:ascii="Arial" w:hAnsi="Arial" w:cs="Arial"/>
          <w:sz w:val="24"/>
          <w:szCs w:val="24"/>
        </w:rPr>
        <w:t>.</w:t>
      </w:r>
    </w:p>
    <w:p w:rsidR="00135125" w:rsidRPr="00135125" w:rsidRDefault="00135125" w:rsidP="00846416">
      <w:pPr>
        <w:pStyle w:val="Prrafodelista"/>
        <w:spacing w:after="0" w:line="240" w:lineRule="auto"/>
        <w:rPr>
          <w:rFonts w:ascii="Arial" w:hAnsi="Arial" w:cs="Arial"/>
          <w:sz w:val="24"/>
          <w:szCs w:val="24"/>
        </w:rPr>
      </w:pPr>
    </w:p>
    <w:p w:rsid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Escasa articulación de la educación superior con los sectores productivos.</w:t>
      </w:r>
    </w:p>
    <w:p w:rsidR="00135125" w:rsidRPr="00135125" w:rsidRDefault="00135125" w:rsidP="00846416">
      <w:pPr>
        <w:pStyle w:val="Prrafodelista"/>
        <w:spacing w:after="0" w:line="240" w:lineRule="auto"/>
        <w:rPr>
          <w:rFonts w:ascii="Arial" w:hAnsi="Arial" w:cs="Arial"/>
          <w:sz w:val="24"/>
          <w:szCs w:val="24"/>
        </w:rPr>
      </w:pPr>
    </w:p>
    <w:p w:rsidR="00135125" w:rsidRP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Dificultades de los jóvenes del norte del Cauca para conseguir empleo una vez concluyen su educación superior.</w:t>
      </w:r>
    </w:p>
    <w:p w:rsidR="00135125" w:rsidRPr="00135125" w:rsidRDefault="00135125" w:rsidP="00846416">
      <w:pPr>
        <w:pStyle w:val="Prrafodelista"/>
        <w:spacing w:after="0" w:line="240" w:lineRule="auto"/>
        <w:rPr>
          <w:rFonts w:ascii="Arial" w:hAnsi="Arial" w:cs="Arial"/>
          <w:sz w:val="24"/>
          <w:szCs w:val="24"/>
        </w:rPr>
      </w:pPr>
    </w:p>
    <w:p w:rsid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Dificultades financieras para pagar la matrícula de educación superior</w:t>
      </w:r>
      <w:r>
        <w:rPr>
          <w:rFonts w:ascii="Arial" w:hAnsi="Arial" w:cs="Arial"/>
          <w:sz w:val="24"/>
          <w:szCs w:val="24"/>
        </w:rPr>
        <w:t>.</w:t>
      </w:r>
    </w:p>
    <w:p w:rsidR="00846416" w:rsidRPr="00846416" w:rsidRDefault="00846416" w:rsidP="00846416">
      <w:pPr>
        <w:pStyle w:val="Prrafodelista"/>
        <w:spacing w:after="0" w:line="240" w:lineRule="auto"/>
        <w:rPr>
          <w:rFonts w:ascii="Arial" w:hAnsi="Arial" w:cs="Arial"/>
          <w:sz w:val="24"/>
          <w:szCs w:val="24"/>
        </w:rPr>
      </w:pPr>
    </w:p>
    <w:p w:rsidR="00846416" w:rsidRPr="007778DA" w:rsidRDefault="00846416" w:rsidP="00846416">
      <w:pPr>
        <w:pStyle w:val="Prrafodelista"/>
        <w:autoSpaceDE w:val="0"/>
        <w:autoSpaceDN w:val="0"/>
        <w:adjustRightInd w:val="0"/>
        <w:spacing w:after="0" w:line="240" w:lineRule="auto"/>
        <w:ind w:left="709"/>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301244">
        <w:rPr>
          <w:rFonts w:ascii="Arial" w:hAnsi="Arial" w:cs="Arial"/>
          <w:b/>
          <w:sz w:val="24"/>
          <w:szCs w:val="24"/>
        </w:rPr>
        <w:t>Causas Indirectas</w:t>
      </w:r>
    </w:p>
    <w:p w:rsidR="00002CFB" w:rsidRPr="00301244" w:rsidRDefault="00002CFB" w:rsidP="00002CFB">
      <w:pPr>
        <w:pStyle w:val="Prrafodelista"/>
        <w:autoSpaceDE w:val="0"/>
        <w:autoSpaceDN w:val="0"/>
        <w:adjustRightInd w:val="0"/>
        <w:spacing w:after="0" w:line="240" w:lineRule="auto"/>
        <w:ind w:left="567"/>
        <w:jc w:val="both"/>
        <w:rPr>
          <w:rFonts w:ascii="Arial" w:hAnsi="Arial" w:cs="Arial"/>
          <w:b/>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Transformación de los saberes ancestrales de las comunidades indígenas y afrodescendientes.</w:t>
      </w:r>
      <w:r>
        <w:rPr>
          <w:rFonts w:ascii="Arial" w:hAnsi="Arial" w:cs="Arial"/>
          <w:sz w:val="24"/>
          <w:szCs w:val="24"/>
        </w:rPr>
        <w:t xml:space="preserve"> </w:t>
      </w:r>
      <w:r w:rsidR="00385F2A" w:rsidRPr="00301244">
        <w:rPr>
          <w:rFonts w:ascii="Arial" w:hAnsi="Arial" w:cs="Arial"/>
          <w:sz w:val="24"/>
          <w:szCs w:val="24"/>
        </w:rPr>
        <w:t>Baja calidad en la educación en los niveles previos</w:t>
      </w:r>
      <w:r>
        <w:rPr>
          <w:rFonts w:ascii="Arial" w:hAnsi="Arial" w:cs="Arial"/>
          <w:sz w:val="24"/>
          <w:szCs w:val="24"/>
        </w:rPr>
        <w:t>.</w:t>
      </w:r>
    </w:p>
    <w:p w:rsidR="00135125" w:rsidRDefault="00135125"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Pr="00301244"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Baja calidad en la educación en los niveles previos.</w:t>
      </w:r>
      <w:r w:rsidR="00385F2A" w:rsidRPr="00301244">
        <w:rPr>
          <w:rFonts w:ascii="Arial" w:hAnsi="Arial" w:cs="Arial"/>
          <w:sz w:val="24"/>
          <w:szCs w:val="24"/>
        </w:rPr>
        <w:t xml:space="preserve"> </w:t>
      </w:r>
    </w:p>
    <w:p w:rsidR="00385F2A" w:rsidRPr="00FB46CA" w:rsidRDefault="00385F2A"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Default="00385F2A" w:rsidP="00171A61">
      <w:pPr>
        <w:autoSpaceDE w:val="0"/>
        <w:autoSpaceDN w:val="0"/>
        <w:adjustRightInd w:val="0"/>
        <w:spacing w:after="0" w:line="240" w:lineRule="auto"/>
        <w:jc w:val="both"/>
        <w:rPr>
          <w:rFonts w:ascii="Arial" w:hAnsi="Arial" w:cs="Arial"/>
          <w:sz w:val="24"/>
          <w:szCs w:val="24"/>
        </w:rPr>
      </w:pPr>
    </w:p>
    <w:p w:rsidR="00385F2A" w:rsidRDefault="00385F2A" w:rsidP="0047737A">
      <w:pPr>
        <w:pStyle w:val="Prrafodelista"/>
        <w:numPr>
          <w:ilvl w:val="0"/>
          <w:numId w:val="30"/>
        </w:numPr>
        <w:spacing w:after="0" w:line="240" w:lineRule="auto"/>
        <w:ind w:left="426" w:hanging="426"/>
        <w:rPr>
          <w:rFonts w:ascii="Arial" w:hAnsi="Arial" w:cs="Arial"/>
          <w:b/>
          <w:sz w:val="24"/>
          <w:szCs w:val="24"/>
        </w:rPr>
      </w:pPr>
      <w:r w:rsidRPr="0047737A">
        <w:rPr>
          <w:rFonts w:ascii="Arial" w:hAnsi="Arial" w:cs="Arial"/>
          <w:b/>
          <w:sz w:val="24"/>
          <w:szCs w:val="24"/>
        </w:rPr>
        <w:t>Describa la situación existente con relación al problema o necesidad:</w:t>
      </w:r>
    </w:p>
    <w:p w:rsidR="00385F2A" w:rsidRPr="0047737A" w:rsidRDefault="00385F2A" w:rsidP="0047737A">
      <w:pPr>
        <w:pStyle w:val="Prrafodelista"/>
        <w:spacing w:after="0" w:line="240" w:lineRule="auto"/>
        <w:ind w:left="426"/>
        <w:rPr>
          <w:rFonts w:ascii="Arial" w:hAnsi="Arial" w:cs="Arial"/>
          <w:b/>
          <w:sz w:val="24"/>
          <w:szCs w:val="24"/>
        </w:rPr>
      </w:pPr>
    </w:p>
    <w:p w:rsidR="00A739DD" w:rsidRDefault="00A739DD" w:rsidP="00A739DD">
      <w:pPr>
        <w:autoSpaceDE w:val="0"/>
        <w:autoSpaceDN w:val="0"/>
        <w:adjustRightInd w:val="0"/>
        <w:spacing w:after="0" w:line="240" w:lineRule="auto"/>
        <w:jc w:val="both"/>
        <w:rPr>
          <w:rFonts w:ascii="Arial" w:hAnsi="Arial" w:cs="Arial"/>
          <w:sz w:val="24"/>
          <w:szCs w:val="24"/>
        </w:rPr>
      </w:pPr>
      <w:r w:rsidRPr="00A739DD">
        <w:rPr>
          <w:rFonts w:ascii="Arial" w:hAnsi="Arial" w:cs="Arial"/>
          <w:sz w:val="24"/>
          <w:szCs w:val="24"/>
        </w:rPr>
        <w:t xml:space="preserve">La pobreza por ingresos incide en el 70% de las familias </w:t>
      </w:r>
      <w:proofErr w:type="spellStart"/>
      <w:r w:rsidRPr="00A739DD">
        <w:rPr>
          <w:rFonts w:ascii="Arial" w:hAnsi="Arial" w:cs="Arial"/>
          <w:sz w:val="24"/>
          <w:szCs w:val="24"/>
        </w:rPr>
        <w:t>nortecaucanas</w:t>
      </w:r>
      <w:proofErr w:type="spellEnd"/>
      <w:r w:rsidRPr="00A739DD">
        <w:rPr>
          <w:rFonts w:ascii="Arial" w:hAnsi="Arial" w:cs="Arial"/>
          <w:sz w:val="24"/>
          <w:szCs w:val="24"/>
        </w:rPr>
        <w:t xml:space="preserve"> y en 8 de los 13 municipios el </w:t>
      </w:r>
      <w:proofErr w:type="spellStart"/>
      <w:r w:rsidRPr="00A739DD">
        <w:rPr>
          <w:rFonts w:ascii="Arial" w:hAnsi="Arial" w:cs="Arial"/>
          <w:sz w:val="24"/>
          <w:szCs w:val="24"/>
        </w:rPr>
        <w:t>NBI</w:t>
      </w:r>
      <w:proofErr w:type="spellEnd"/>
      <w:r w:rsidRPr="00A739DD">
        <w:rPr>
          <w:rFonts w:ascii="Arial" w:hAnsi="Arial" w:cs="Arial"/>
          <w:sz w:val="24"/>
          <w:szCs w:val="24"/>
        </w:rPr>
        <w:t xml:space="preserve"> está por encima del 48%. Casos extremos de alto </w:t>
      </w:r>
      <w:proofErr w:type="spellStart"/>
      <w:r w:rsidRPr="00A739DD">
        <w:rPr>
          <w:rFonts w:ascii="Arial" w:hAnsi="Arial" w:cs="Arial"/>
          <w:sz w:val="24"/>
          <w:szCs w:val="24"/>
        </w:rPr>
        <w:t>NBl</w:t>
      </w:r>
      <w:proofErr w:type="spellEnd"/>
      <w:r w:rsidR="00AE218A">
        <w:rPr>
          <w:rFonts w:ascii="Arial" w:hAnsi="Arial" w:cs="Arial"/>
          <w:sz w:val="24"/>
          <w:szCs w:val="24"/>
        </w:rPr>
        <w:t xml:space="preserve"> </w:t>
      </w:r>
      <w:r w:rsidRPr="00A739DD">
        <w:rPr>
          <w:rFonts w:ascii="Arial" w:hAnsi="Arial" w:cs="Arial"/>
          <w:sz w:val="24"/>
          <w:szCs w:val="24"/>
        </w:rPr>
        <w:t xml:space="preserve">se registran en Jambaló (73%), </w:t>
      </w:r>
      <w:proofErr w:type="spellStart"/>
      <w:r w:rsidRPr="00A739DD">
        <w:rPr>
          <w:rFonts w:ascii="Arial" w:hAnsi="Arial" w:cs="Arial"/>
          <w:sz w:val="24"/>
          <w:szCs w:val="24"/>
        </w:rPr>
        <w:t>Toribío</w:t>
      </w:r>
      <w:proofErr w:type="spellEnd"/>
      <w:r w:rsidRPr="00A739DD">
        <w:rPr>
          <w:rFonts w:ascii="Arial" w:hAnsi="Arial" w:cs="Arial"/>
          <w:sz w:val="24"/>
          <w:szCs w:val="24"/>
        </w:rPr>
        <w:t xml:space="preserve"> (62%) y Suárez (60%). La cobertura de educación superior en el norte del Cauca es desproporcionadamente baja en</w:t>
      </w:r>
      <w:r w:rsidR="00AE218A">
        <w:rPr>
          <w:rFonts w:ascii="Arial" w:hAnsi="Arial" w:cs="Arial"/>
          <w:sz w:val="24"/>
          <w:szCs w:val="24"/>
        </w:rPr>
        <w:t xml:space="preserve"> </w:t>
      </w:r>
      <w:r w:rsidRPr="00A739DD">
        <w:rPr>
          <w:rFonts w:ascii="Arial" w:hAnsi="Arial" w:cs="Arial"/>
          <w:sz w:val="24"/>
          <w:szCs w:val="24"/>
        </w:rPr>
        <w:lastRenderedPageBreak/>
        <w:t>relación con el promedio nacional, pues se encuentra 23 puntos porcentuales por debajo de Colombia. La matrícula se encuentra concentrada en Popayán con el</w:t>
      </w:r>
      <w:r w:rsidR="00AE218A">
        <w:rPr>
          <w:rFonts w:ascii="Arial" w:hAnsi="Arial" w:cs="Arial"/>
          <w:sz w:val="24"/>
          <w:szCs w:val="24"/>
        </w:rPr>
        <w:t xml:space="preserve"> </w:t>
      </w:r>
      <w:r w:rsidRPr="00A739DD">
        <w:rPr>
          <w:rFonts w:ascii="Arial" w:hAnsi="Arial" w:cs="Arial"/>
          <w:sz w:val="24"/>
          <w:szCs w:val="24"/>
        </w:rPr>
        <w:t>75% de los estudiantes de todo el departamento. De 34.831 estudiantes de educación superior del Cauca, únicamente 5.444 se encontraban matriculados en el</w:t>
      </w:r>
      <w:r w:rsidR="00AE218A">
        <w:rPr>
          <w:rFonts w:ascii="Arial" w:hAnsi="Arial" w:cs="Arial"/>
          <w:sz w:val="24"/>
          <w:szCs w:val="24"/>
        </w:rPr>
        <w:t xml:space="preserve"> </w:t>
      </w:r>
      <w:r w:rsidRPr="00A739DD">
        <w:rPr>
          <w:rFonts w:ascii="Arial" w:hAnsi="Arial" w:cs="Arial"/>
          <w:sz w:val="24"/>
          <w:szCs w:val="24"/>
        </w:rPr>
        <w:t>año 2010 en los 13 municipios del norte (incluidas estadísticas del SENA). 8 de los 13 municipios objeto del proyecto reportan menos de 100 matriculados en la</w:t>
      </w:r>
      <w:r w:rsidR="00AE218A">
        <w:rPr>
          <w:rFonts w:ascii="Arial" w:hAnsi="Arial" w:cs="Arial"/>
          <w:sz w:val="24"/>
          <w:szCs w:val="24"/>
        </w:rPr>
        <w:t xml:space="preserve"> </w:t>
      </w:r>
      <w:r w:rsidRPr="00A739DD">
        <w:rPr>
          <w:rFonts w:ascii="Arial" w:hAnsi="Arial" w:cs="Arial"/>
          <w:sz w:val="24"/>
          <w:szCs w:val="24"/>
        </w:rPr>
        <w:t>educación superior. La tasa de absorción de los bachilleres en la educación superior es también sustancialmente baja en la región en relación con el promedio</w:t>
      </w:r>
      <w:r w:rsidR="00AE218A">
        <w:rPr>
          <w:rFonts w:ascii="Arial" w:hAnsi="Arial" w:cs="Arial"/>
          <w:sz w:val="24"/>
          <w:szCs w:val="24"/>
        </w:rPr>
        <w:t xml:space="preserve"> </w:t>
      </w:r>
      <w:r w:rsidRPr="00A739DD">
        <w:rPr>
          <w:rFonts w:ascii="Arial" w:hAnsi="Arial" w:cs="Arial"/>
          <w:sz w:val="24"/>
          <w:szCs w:val="24"/>
        </w:rPr>
        <w:t xml:space="preserve">nacional. Casi la mitad de los estudiantes que logran acceder a la educación superior, desertan definitivamente del sistema (46.1%). El </w:t>
      </w:r>
      <w:proofErr w:type="spellStart"/>
      <w:r w:rsidRPr="00A739DD">
        <w:rPr>
          <w:rFonts w:ascii="Arial" w:hAnsi="Arial" w:cs="Arial"/>
          <w:sz w:val="24"/>
          <w:szCs w:val="24"/>
        </w:rPr>
        <w:t>ICETEX</w:t>
      </w:r>
      <w:proofErr w:type="spellEnd"/>
      <w:r w:rsidRPr="00A739DD">
        <w:rPr>
          <w:rFonts w:ascii="Arial" w:hAnsi="Arial" w:cs="Arial"/>
          <w:sz w:val="24"/>
          <w:szCs w:val="24"/>
        </w:rPr>
        <w:t xml:space="preserve"> está cubriendo al</w:t>
      </w:r>
      <w:r w:rsidR="00AE218A">
        <w:rPr>
          <w:rFonts w:ascii="Arial" w:hAnsi="Arial" w:cs="Arial"/>
          <w:sz w:val="24"/>
          <w:szCs w:val="24"/>
        </w:rPr>
        <w:t xml:space="preserve"> </w:t>
      </w:r>
      <w:r w:rsidRPr="00A739DD">
        <w:rPr>
          <w:rFonts w:ascii="Arial" w:hAnsi="Arial" w:cs="Arial"/>
          <w:sz w:val="24"/>
          <w:szCs w:val="24"/>
        </w:rPr>
        <w:t>17% de la población matriculada, pero el 58% de la misma pertenece a hogares cuyos ingresos no superan los dos salarios mínimos.</w:t>
      </w:r>
    </w:p>
    <w:p w:rsidR="00AE218A" w:rsidRPr="00A739DD" w:rsidRDefault="00AE218A" w:rsidP="00A739DD">
      <w:pPr>
        <w:autoSpaceDE w:val="0"/>
        <w:autoSpaceDN w:val="0"/>
        <w:adjustRightInd w:val="0"/>
        <w:spacing w:after="0" w:line="240" w:lineRule="auto"/>
        <w:jc w:val="both"/>
        <w:rPr>
          <w:rFonts w:ascii="Arial" w:hAnsi="Arial" w:cs="Arial"/>
          <w:sz w:val="24"/>
          <w:szCs w:val="24"/>
        </w:rPr>
      </w:pPr>
    </w:p>
    <w:p w:rsidR="00385F2A" w:rsidRDefault="006406B4" w:rsidP="006406B4">
      <w:pPr>
        <w:tabs>
          <w:tab w:val="num" w:pos="1080"/>
        </w:tabs>
        <w:jc w:val="both"/>
        <w:rPr>
          <w:rFonts w:ascii="Arial" w:hAnsi="Arial" w:cs="Arial"/>
          <w:b/>
          <w:sz w:val="24"/>
          <w:szCs w:val="24"/>
          <w:lang w:val="es-MX" w:eastAsia="es-CO"/>
        </w:rPr>
      </w:pPr>
      <w:r w:rsidRPr="006406B4">
        <w:rPr>
          <w:rFonts w:ascii="Arial" w:hAnsi="Arial" w:cs="Arial"/>
          <w:b/>
          <w:sz w:val="24"/>
          <w:szCs w:val="24"/>
          <w:lang w:eastAsia="es-CO"/>
        </w:rPr>
        <w:t>Indicadores</w:t>
      </w:r>
      <w:r w:rsidR="00385F2A" w:rsidRPr="00FB46CA">
        <w:rPr>
          <w:rFonts w:ascii="Arial" w:hAnsi="Arial" w:cs="Arial"/>
          <w:b/>
          <w:sz w:val="24"/>
          <w:szCs w:val="24"/>
          <w:lang w:val="es-MX" w:eastAsia="es-CO"/>
        </w:rPr>
        <w:t xml:space="preserve"> iniciales ¿Cuál es la magnitud del problema actualmente?</w:t>
      </w:r>
    </w:p>
    <w:p w:rsidR="00AE218A" w:rsidRDefault="00AE218A" w:rsidP="00AE218A">
      <w:pPr>
        <w:autoSpaceDE w:val="0"/>
        <w:autoSpaceDN w:val="0"/>
        <w:adjustRightInd w:val="0"/>
        <w:spacing w:after="0" w:line="240" w:lineRule="auto"/>
        <w:jc w:val="both"/>
        <w:rPr>
          <w:rFonts w:ascii="Arial" w:hAnsi="Arial" w:cs="Arial"/>
          <w:sz w:val="24"/>
          <w:szCs w:val="24"/>
        </w:rPr>
      </w:pPr>
      <w:r w:rsidRPr="00AE218A">
        <w:rPr>
          <w:rFonts w:ascii="Arial" w:hAnsi="Arial" w:cs="Arial"/>
          <w:sz w:val="24"/>
          <w:szCs w:val="24"/>
        </w:rPr>
        <w:t>Tasa cobertura de educ</w:t>
      </w:r>
      <w:r>
        <w:rPr>
          <w:rFonts w:ascii="Arial" w:hAnsi="Arial" w:cs="Arial"/>
          <w:sz w:val="24"/>
          <w:szCs w:val="24"/>
        </w:rPr>
        <w:t xml:space="preserve">ación </w:t>
      </w:r>
      <w:r w:rsidRPr="00AE218A">
        <w:rPr>
          <w:rFonts w:ascii="Arial" w:hAnsi="Arial" w:cs="Arial"/>
          <w:sz w:val="24"/>
          <w:szCs w:val="24"/>
        </w:rPr>
        <w:t>sup</w:t>
      </w:r>
      <w:r>
        <w:rPr>
          <w:rFonts w:ascii="Arial" w:hAnsi="Arial" w:cs="Arial"/>
          <w:sz w:val="24"/>
          <w:szCs w:val="24"/>
        </w:rPr>
        <w:t>erior</w:t>
      </w:r>
      <w:r w:rsidRPr="00AE218A">
        <w:rPr>
          <w:rFonts w:ascii="Arial" w:hAnsi="Arial" w:cs="Arial"/>
          <w:sz w:val="24"/>
          <w:szCs w:val="24"/>
        </w:rPr>
        <w:t>: Colombia: 37.1%, Cauca: 26.5% y Norte: 14.1% (2010). Tasa de deserción: Tecnologías: Colombia 56.5%; Cauca: 58.7% Técnicos</w:t>
      </w:r>
      <w:r>
        <w:rPr>
          <w:rFonts w:ascii="Arial" w:hAnsi="Arial" w:cs="Arial"/>
          <w:sz w:val="24"/>
          <w:szCs w:val="24"/>
        </w:rPr>
        <w:t xml:space="preserve"> </w:t>
      </w:r>
      <w:r w:rsidRPr="00AE218A">
        <w:rPr>
          <w:rFonts w:ascii="Arial" w:hAnsi="Arial" w:cs="Arial"/>
          <w:sz w:val="24"/>
          <w:szCs w:val="24"/>
        </w:rPr>
        <w:t>Profes: Col: 68.1% Cauca: 84.9% (al 6 semestre)</w:t>
      </w:r>
      <w:r w:rsidR="00BE195F">
        <w:rPr>
          <w:rFonts w:ascii="Arial" w:hAnsi="Arial" w:cs="Arial"/>
          <w:sz w:val="24"/>
          <w:szCs w:val="24"/>
        </w:rPr>
        <w:t>.</w:t>
      </w:r>
    </w:p>
    <w:p w:rsidR="00BE195F" w:rsidRPr="00AE218A" w:rsidRDefault="00BE195F" w:rsidP="00AE218A">
      <w:pPr>
        <w:autoSpaceDE w:val="0"/>
        <w:autoSpaceDN w:val="0"/>
        <w:adjustRightInd w:val="0"/>
        <w:spacing w:after="0" w:line="240" w:lineRule="auto"/>
        <w:jc w:val="both"/>
        <w:rPr>
          <w:rFonts w:ascii="Arial" w:hAnsi="Arial" w:cs="Arial"/>
          <w:sz w:val="24"/>
          <w:szCs w:val="24"/>
        </w:rPr>
      </w:pPr>
    </w:p>
    <w:p w:rsidR="00385F2A" w:rsidRDefault="00385F2A" w:rsidP="004D3889">
      <w:pPr>
        <w:pStyle w:val="Ttulo1"/>
        <w:numPr>
          <w:ilvl w:val="0"/>
          <w:numId w:val="40"/>
        </w:numPr>
        <w:ind w:left="284" w:hanging="284"/>
        <w:rPr>
          <w:rFonts w:ascii="Arial" w:hAnsi="Arial" w:cs="Arial"/>
          <w:bCs w:val="0"/>
          <w:sz w:val="24"/>
          <w:szCs w:val="24"/>
        </w:rPr>
      </w:pPr>
      <w:bookmarkStart w:id="6" w:name="_Toc336487912"/>
      <w:r w:rsidRPr="001A2103">
        <w:rPr>
          <w:rFonts w:ascii="Arial" w:hAnsi="Arial" w:cs="Arial"/>
          <w:bCs w:val="0"/>
          <w:sz w:val="24"/>
          <w:szCs w:val="24"/>
        </w:rPr>
        <w:t>OBJETIVOS</w:t>
      </w:r>
      <w:bookmarkEnd w:id="6"/>
    </w:p>
    <w:p w:rsidR="00385F2A" w:rsidRPr="00275EED" w:rsidRDefault="00385F2A" w:rsidP="004D3889">
      <w:pPr>
        <w:pStyle w:val="Ttulo2"/>
        <w:numPr>
          <w:ilvl w:val="1"/>
          <w:numId w:val="40"/>
        </w:numPr>
        <w:ind w:left="426" w:hanging="426"/>
        <w:rPr>
          <w:rFonts w:ascii="Arial" w:hAnsi="Arial" w:cs="Arial"/>
          <w:b w:val="0"/>
          <w:bCs w:val="0"/>
          <w:i w:val="0"/>
          <w:sz w:val="24"/>
          <w:szCs w:val="24"/>
        </w:rPr>
      </w:pPr>
      <w:bookmarkStart w:id="7" w:name="_Toc336487913"/>
      <w:r w:rsidRPr="00275EED">
        <w:rPr>
          <w:rFonts w:ascii="Arial" w:hAnsi="Arial" w:cs="Arial"/>
          <w:bCs w:val="0"/>
          <w:i w:val="0"/>
          <w:sz w:val="24"/>
          <w:szCs w:val="24"/>
        </w:rPr>
        <w:t>OBJETIVO GENERAL</w:t>
      </w:r>
      <w:bookmarkEnd w:id="7"/>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C926C9" w:rsidRDefault="00B228EA" w:rsidP="00171A61">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
        </w:rPr>
        <w:t>Contribuir</w:t>
      </w:r>
      <w:r w:rsidR="00385F2A" w:rsidRPr="00FB46CA">
        <w:rPr>
          <w:rFonts w:ascii="Arial" w:hAnsi="Arial" w:cs="Arial"/>
          <w:sz w:val="24"/>
          <w:szCs w:val="24"/>
          <w:lang w:val="es-ES"/>
        </w:rPr>
        <w:t xml:space="preserve"> al acceso y permanencia en la educación superior, a la generación de empleo y a la disminución de la pobreza a través de la </w:t>
      </w:r>
      <w:r>
        <w:rPr>
          <w:rFonts w:ascii="Arial" w:hAnsi="Arial" w:cs="Arial"/>
          <w:sz w:val="24"/>
          <w:szCs w:val="24"/>
          <w:lang w:val="es-ES"/>
        </w:rPr>
        <w:t xml:space="preserve">formación académica, </w:t>
      </w:r>
      <w:r w:rsidR="00385F2A" w:rsidRPr="00FB46CA">
        <w:rPr>
          <w:rFonts w:ascii="Arial" w:hAnsi="Arial" w:cs="Arial"/>
          <w:sz w:val="24"/>
          <w:szCs w:val="24"/>
          <w:lang w:val="es-ES"/>
        </w:rPr>
        <w:t>genera</w:t>
      </w:r>
      <w:r>
        <w:rPr>
          <w:rFonts w:ascii="Arial" w:hAnsi="Arial" w:cs="Arial"/>
          <w:sz w:val="24"/>
          <w:szCs w:val="24"/>
          <w:lang w:val="es-ES"/>
        </w:rPr>
        <w:t>ndo</w:t>
      </w:r>
      <w:r w:rsidR="00385F2A" w:rsidRPr="00FB46CA">
        <w:rPr>
          <w:rFonts w:ascii="Arial" w:hAnsi="Arial" w:cs="Arial"/>
          <w:sz w:val="24"/>
          <w:szCs w:val="24"/>
          <w:lang w:val="es-ES"/>
        </w:rPr>
        <w:t xml:space="preserve"> capacidades técnicas y tecnológicas </w:t>
      </w:r>
      <w:r>
        <w:rPr>
          <w:rFonts w:ascii="Arial" w:hAnsi="Arial" w:cs="Arial"/>
          <w:sz w:val="24"/>
          <w:szCs w:val="24"/>
        </w:rPr>
        <w:t xml:space="preserve">a 2.000 </w:t>
      </w:r>
      <w:r w:rsidR="00385F2A" w:rsidRPr="00FB46CA">
        <w:rPr>
          <w:rFonts w:ascii="Arial" w:hAnsi="Arial" w:cs="Arial"/>
          <w:sz w:val="24"/>
          <w:szCs w:val="24"/>
        </w:rPr>
        <w:t>jóvenes</w:t>
      </w:r>
      <w:r>
        <w:rPr>
          <w:rFonts w:ascii="Arial" w:hAnsi="Arial" w:cs="Arial"/>
          <w:sz w:val="24"/>
          <w:szCs w:val="24"/>
        </w:rPr>
        <w:t xml:space="preserve">, </w:t>
      </w:r>
      <w:r w:rsidR="00385F2A" w:rsidRPr="00FB46CA">
        <w:rPr>
          <w:rFonts w:ascii="Arial" w:hAnsi="Arial" w:cs="Arial"/>
          <w:sz w:val="24"/>
          <w:szCs w:val="24"/>
        </w:rPr>
        <w:t xml:space="preserve"> en situación de vulnerabilidad</w:t>
      </w:r>
      <w:proofErr w:type="gramStart"/>
      <w:r w:rsidR="00925A98">
        <w:rPr>
          <w:rFonts w:ascii="Arial" w:hAnsi="Arial" w:cs="Arial"/>
          <w:sz w:val="24"/>
          <w:szCs w:val="24"/>
        </w:rPr>
        <w:t>.</w:t>
      </w:r>
      <w:r w:rsidR="00CE7156">
        <w:rPr>
          <w:rFonts w:ascii="Arial" w:hAnsi="Arial" w:cs="Arial"/>
          <w:sz w:val="24"/>
          <w:szCs w:val="24"/>
        </w:rPr>
        <w:t>.</w:t>
      </w:r>
      <w:proofErr w:type="gramEnd"/>
    </w:p>
    <w:p w:rsidR="00385F2A" w:rsidRDefault="00385F2A" w:rsidP="00171A61">
      <w:pPr>
        <w:autoSpaceDE w:val="0"/>
        <w:autoSpaceDN w:val="0"/>
        <w:adjustRightInd w:val="0"/>
        <w:spacing w:after="0" w:line="240" w:lineRule="auto"/>
        <w:jc w:val="both"/>
        <w:rPr>
          <w:rFonts w:ascii="Arial" w:hAnsi="Arial" w:cs="Arial"/>
          <w:b/>
          <w:bCs/>
        </w:rPr>
      </w:pPr>
    </w:p>
    <w:p w:rsidR="00385F2A" w:rsidRPr="00275EED" w:rsidRDefault="00385F2A" w:rsidP="004D3889">
      <w:pPr>
        <w:pStyle w:val="Ttulo2"/>
        <w:numPr>
          <w:ilvl w:val="1"/>
          <w:numId w:val="40"/>
        </w:numPr>
        <w:ind w:left="567" w:hanging="567"/>
        <w:rPr>
          <w:rFonts w:ascii="Arial" w:hAnsi="Arial" w:cs="Arial"/>
          <w:b w:val="0"/>
          <w:bCs w:val="0"/>
          <w:i w:val="0"/>
          <w:sz w:val="24"/>
          <w:szCs w:val="24"/>
        </w:rPr>
      </w:pPr>
      <w:bookmarkStart w:id="8" w:name="_Toc336487914"/>
      <w:r w:rsidRPr="00275EED">
        <w:rPr>
          <w:rFonts w:ascii="Arial" w:hAnsi="Arial" w:cs="Arial"/>
          <w:bCs w:val="0"/>
          <w:i w:val="0"/>
          <w:sz w:val="24"/>
          <w:szCs w:val="24"/>
        </w:rPr>
        <w:t>OBJETIVOS ESPECÍFICOS</w:t>
      </w:r>
      <w:bookmarkEnd w:id="8"/>
    </w:p>
    <w:p w:rsidR="00385F2A" w:rsidRDefault="00385F2A" w:rsidP="00386B54">
      <w:pPr>
        <w:spacing w:after="0" w:line="240" w:lineRule="auto"/>
        <w:jc w:val="both"/>
        <w:rPr>
          <w:rFonts w:ascii="Arial" w:hAnsi="Arial" w:cs="Arial"/>
        </w:rPr>
      </w:pPr>
    </w:p>
    <w:p w:rsidR="00AA7B1C" w:rsidRPr="00925A98" w:rsidRDefault="00925A98" w:rsidP="00925A98">
      <w:pPr>
        <w:pStyle w:val="Prrafodelista"/>
        <w:numPr>
          <w:ilvl w:val="0"/>
          <w:numId w:val="47"/>
        </w:numPr>
        <w:spacing w:after="0" w:line="240" w:lineRule="auto"/>
        <w:ind w:left="284" w:hanging="284"/>
        <w:jc w:val="both"/>
        <w:rPr>
          <w:rFonts w:ascii="Arial" w:hAnsi="Arial" w:cs="Arial"/>
          <w:sz w:val="24"/>
          <w:szCs w:val="24"/>
          <w:lang w:val="es-MX"/>
        </w:rPr>
      </w:pPr>
      <w:r w:rsidRPr="00925A98">
        <w:rPr>
          <w:rFonts w:ascii="Arial" w:hAnsi="Arial" w:cs="Arial"/>
          <w:sz w:val="24"/>
          <w:szCs w:val="24"/>
          <w:lang w:val="es-MX"/>
        </w:rPr>
        <w:t>Articular 42 instituciones educativas públicas de enseñanza media a la educación técnica profesional</w:t>
      </w:r>
      <w:r>
        <w:rPr>
          <w:rFonts w:ascii="Arial" w:hAnsi="Arial" w:cs="Arial"/>
          <w:sz w:val="24"/>
          <w:szCs w:val="24"/>
          <w:lang w:val="es-MX"/>
        </w:rPr>
        <w:t>.</w:t>
      </w:r>
    </w:p>
    <w:p w:rsidR="00925A98" w:rsidRDefault="00925A98" w:rsidP="00924EE4">
      <w:pPr>
        <w:spacing w:after="0" w:line="240" w:lineRule="auto"/>
        <w:jc w:val="both"/>
        <w:rPr>
          <w:rFonts w:ascii="Arial" w:hAnsi="Arial" w:cs="Arial"/>
          <w:color w:val="000000" w:themeColor="text1"/>
          <w:sz w:val="24"/>
          <w:szCs w:val="24"/>
          <w:lang w:val="es-MX"/>
        </w:rPr>
      </w:pPr>
    </w:p>
    <w:p w:rsidR="00924EE4" w:rsidRPr="00925A98" w:rsidRDefault="00924EE4" w:rsidP="00924EE4">
      <w:pPr>
        <w:spacing w:after="0" w:line="240" w:lineRule="auto"/>
        <w:jc w:val="both"/>
        <w:rPr>
          <w:rFonts w:ascii="Arial" w:hAnsi="Arial" w:cs="Arial"/>
          <w:b/>
          <w:color w:val="000000" w:themeColor="text1"/>
          <w:sz w:val="24"/>
          <w:szCs w:val="24"/>
          <w:lang w:val="es-MX"/>
        </w:rPr>
      </w:pPr>
      <w:r w:rsidRPr="00925A98">
        <w:rPr>
          <w:rFonts w:ascii="Arial" w:hAnsi="Arial" w:cs="Arial"/>
          <w:b/>
          <w:color w:val="000000" w:themeColor="text1"/>
          <w:sz w:val="24"/>
          <w:szCs w:val="24"/>
          <w:lang w:val="es-MX"/>
        </w:rPr>
        <w:t>(Relacionado con la causa directa</w:t>
      </w:r>
      <w:r w:rsidR="003F1FD3" w:rsidRPr="00925A98">
        <w:rPr>
          <w:rFonts w:ascii="Arial" w:hAnsi="Arial" w:cs="Arial"/>
          <w:b/>
          <w:color w:val="000000" w:themeColor="text1"/>
          <w:sz w:val="24"/>
          <w:szCs w:val="24"/>
          <w:lang w:val="es-MX"/>
        </w:rPr>
        <w:t xml:space="preserve"> 3.</w:t>
      </w:r>
      <w:r w:rsidR="00AA7B1C" w:rsidRPr="00925A98">
        <w:rPr>
          <w:rFonts w:ascii="Arial" w:hAnsi="Arial" w:cs="Arial"/>
          <w:b/>
          <w:color w:val="000000" w:themeColor="text1"/>
          <w:sz w:val="24"/>
          <w:szCs w:val="24"/>
          <w:lang w:val="es-MX"/>
        </w:rPr>
        <w:t>1</w:t>
      </w:r>
      <w:r w:rsidRPr="00925A98">
        <w:rPr>
          <w:rFonts w:ascii="Arial" w:hAnsi="Arial" w:cs="Arial"/>
          <w:b/>
          <w:color w:val="000000" w:themeColor="text1"/>
          <w:sz w:val="24"/>
          <w:szCs w:val="24"/>
          <w:lang w:val="es-MX"/>
        </w:rPr>
        <w:t>)</w:t>
      </w:r>
    </w:p>
    <w:p w:rsidR="00924EE4" w:rsidRDefault="00924EE4" w:rsidP="00924EE4">
      <w:pPr>
        <w:spacing w:after="0" w:line="240" w:lineRule="auto"/>
        <w:ind w:left="360"/>
        <w:jc w:val="both"/>
        <w:rPr>
          <w:rFonts w:ascii="Arial" w:hAnsi="Arial" w:cs="Arial"/>
          <w:sz w:val="24"/>
          <w:szCs w:val="24"/>
          <w:lang w:val="es-MX"/>
        </w:rPr>
      </w:pPr>
    </w:p>
    <w:p w:rsidR="00AA7B1C" w:rsidRDefault="00B91CEC" w:rsidP="00B91CEC">
      <w:pPr>
        <w:pStyle w:val="Prrafodelista"/>
        <w:numPr>
          <w:ilvl w:val="0"/>
          <w:numId w:val="47"/>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Nivelar académicamente a 2.000  jóvenes beneficiarios para su ingreso a la educación superior.</w:t>
      </w:r>
    </w:p>
    <w:p w:rsidR="00B91CEC" w:rsidRPr="00AA7B1C" w:rsidRDefault="00B91CEC" w:rsidP="00B91CEC">
      <w:pPr>
        <w:pStyle w:val="Prrafodelista"/>
        <w:spacing w:after="0" w:line="240" w:lineRule="auto"/>
        <w:ind w:left="284"/>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(Relacionado con la causa directa </w:t>
      </w:r>
      <w:r w:rsidR="003F1FD3" w:rsidRPr="00B91CEC">
        <w:rPr>
          <w:rFonts w:ascii="Arial" w:hAnsi="Arial" w:cs="Arial"/>
          <w:b/>
          <w:color w:val="000000" w:themeColor="text1"/>
          <w:sz w:val="24"/>
          <w:szCs w:val="24"/>
          <w:lang w:val="es-MX"/>
        </w:rPr>
        <w:t>3</w:t>
      </w:r>
      <w:r w:rsidRPr="00B91CEC">
        <w:rPr>
          <w:rFonts w:ascii="Arial" w:hAnsi="Arial" w:cs="Arial"/>
          <w:b/>
          <w:color w:val="000000" w:themeColor="text1"/>
          <w:sz w:val="24"/>
          <w:szCs w:val="24"/>
          <w:lang w:val="es-MX"/>
        </w:rPr>
        <w:t xml:space="preserve">.2.) </w:t>
      </w:r>
    </w:p>
    <w:p w:rsidR="00385F2A" w:rsidRPr="00D65DB8" w:rsidRDefault="00385F2A" w:rsidP="008B7E34">
      <w:pPr>
        <w:spacing w:after="0" w:line="240" w:lineRule="auto"/>
        <w:jc w:val="both"/>
        <w:rPr>
          <w:rFonts w:ascii="Arial" w:hAnsi="Arial" w:cs="Arial"/>
          <w:color w:val="000000" w:themeColor="text1"/>
          <w:sz w:val="24"/>
          <w:szCs w:val="24"/>
          <w:lang w:val="es-MX"/>
        </w:rPr>
      </w:pPr>
    </w:p>
    <w:p w:rsidR="00D65DB8" w:rsidRPr="00B91CEC" w:rsidRDefault="00B91CEC" w:rsidP="00B91CEC">
      <w:pPr>
        <w:pStyle w:val="Prrafodelista"/>
        <w:numPr>
          <w:ilvl w:val="0"/>
          <w:numId w:val="47"/>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Incrementar la permanencia en el sistema de educación superior de 2.000 jóvenes en situación de vulnerabilidad.</w:t>
      </w:r>
    </w:p>
    <w:p w:rsidR="00B91CEC" w:rsidRDefault="00B91CEC" w:rsidP="00135ACA">
      <w:pPr>
        <w:spacing w:after="0" w:line="240" w:lineRule="auto"/>
        <w:ind w:firstLine="360"/>
        <w:jc w:val="both"/>
        <w:rPr>
          <w:rFonts w:ascii="Arial" w:hAnsi="Arial" w:cs="Arial"/>
          <w:b/>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(Relacionada con la causa directa 3.</w:t>
      </w:r>
      <w:r w:rsidR="003F1FD3" w:rsidRPr="00B91CEC">
        <w:rPr>
          <w:rFonts w:ascii="Arial" w:hAnsi="Arial" w:cs="Arial"/>
          <w:b/>
          <w:color w:val="000000" w:themeColor="text1"/>
          <w:sz w:val="24"/>
          <w:szCs w:val="24"/>
          <w:lang w:val="es-MX"/>
        </w:rPr>
        <w:t>3</w:t>
      </w:r>
      <w:r w:rsidRPr="00B91CEC">
        <w:rPr>
          <w:rFonts w:ascii="Arial" w:hAnsi="Arial" w:cs="Arial"/>
          <w:b/>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385F2A" w:rsidRPr="00D65DB8" w:rsidRDefault="00B91CEC" w:rsidP="00B91CEC">
      <w:pPr>
        <w:pStyle w:val="Prrafodelista"/>
        <w:numPr>
          <w:ilvl w:val="0"/>
          <w:numId w:val="45"/>
        </w:numPr>
        <w:spacing w:after="0" w:line="240" w:lineRule="auto"/>
        <w:ind w:left="426" w:hanging="426"/>
        <w:jc w:val="both"/>
        <w:rPr>
          <w:rFonts w:ascii="Arial" w:hAnsi="Arial" w:cs="Arial"/>
          <w:sz w:val="24"/>
          <w:szCs w:val="24"/>
          <w:lang w:val="es-MX"/>
        </w:rPr>
      </w:pPr>
      <w:r w:rsidRPr="00B91CEC">
        <w:rPr>
          <w:rFonts w:ascii="Arial" w:hAnsi="Arial" w:cs="Arial"/>
          <w:sz w:val="24"/>
          <w:szCs w:val="24"/>
          <w:lang w:val="es-MX"/>
        </w:rPr>
        <w:t>Diseñar/rediseñar los programas académicos del proyecto de la mano con los sectores productivos</w:t>
      </w:r>
      <w:r>
        <w:rPr>
          <w:rFonts w:ascii="Arial" w:hAnsi="Arial" w:cs="Arial"/>
          <w:sz w:val="24"/>
          <w:szCs w:val="24"/>
          <w:lang w:val="es-MX"/>
        </w:rPr>
        <w:t>.</w:t>
      </w:r>
    </w:p>
    <w:p w:rsidR="00D65DB8" w:rsidRPr="00FB46CA" w:rsidRDefault="00D65DB8" w:rsidP="00135ACA">
      <w:pPr>
        <w:spacing w:after="0" w:line="240" w:lineRule="auto"/>
        <w:ind w:left="360"/>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(Relacionada con la causa directa </w:t>
      </w:r>
      <w:r w:rsidR="00D65DB8" w:rsidRPr="00B91CEC">
        <w:rPr>
          <w:rFonts w:ascii="Arial" w:hAnsi="Arial" w:cs="Arial"/>
          <w:b/>
          <w:color w:val="000000" w:themeColor="text1"/>
          <w:sz w:val="24"/>
          <w:szCs w:val="24"/>
          <w:lang w:val="es-MX"/>
        </w:rPr>
        <w:t>3.4</w:t>
      </w:r>
      <w:r w:rsidRPr="00B91CEC">
        <w:rPr>
          <w:rFonts w:ascii="Arial" w:hAnsi="Arial" w:cs="Arial"/>
          <w:b/>
          <w:color w:val="000000" w:themeColor="text1"/>
          <w:sz w:val="24"/>
          <w:szCs w:val="24"/>
          <w:lang w:val="es-MX"/>
        </w:rPr>
        <w:t>)</w:t>
      </w:r>
    </w:p>
    <w:p w:rsidR="00385F2A" w:rsidRPr="00135ACA" w:rsidRDefault="00385F2A" w:rsidP="00AB222D">
      <w:pPr>
        <w:spacing w:after="0" w:line="240" w:lineRule="auto"/>
        <w:ind w:left="360"/>
        <w:jc w:val="both"/>
        <w:rPr>
          <w:rFonts w:ascii="Arial" w:hAnsi="Arial" w:cs="Arial"/>
          <w:b/>
          <w:sz w:val="24"/>
          <w:szCs w:val="24"/>
          <w:lang w:val="es-MX"/>
        </w:rPr>
      </w:pPr>
    </w:p>
    <w:p w:rsidR="00AA7B1C" w:rsidRPr="00B91CEC" w:rsidRDefault="00B91CEC" w:rsidP="00B91CEC">
      <w:pPr>
        <w:pStyle w:val="Prrafodelista"/>
        <w:numPr>
          <w:ilvl w:val="0"/>
          <w:numId w:val="45"/>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Facilitar la inserción de los jóvenes beneficiarios del proyecto al mundo laboral</w:t>
      </w:r>
      <w:proofErr w:type="gramStart"/>
      <w:r w:rsidRPr="00B91CEC">
        <w:rPr>
          <w:rFonts w:ascii="Arial" w:hAnsi="Arial" w:cs="Arial"/>
          <w:sz w:val="24"/>
          <w:szCs w:val="24"/>
          <w:lang w:val="es-MX"/>
        </w:rPr>
        <w:t>.</w:t>
      </w:r>
      <w:r w:rsidR="00D65DB8" w:rsidRPr="00B91CEC">
        <w:rPr>
          <w:rFonts w:ascii="Arial" w:hAnsi="Arial" w:cs="Arial"/>
          <w:sz w:val="24"/>
          <w:szCs w:val="24"/>
          <w:lang w:val="es-MX"/>
        </w:rPr>
        <w:t>.</w:t>
      </w:r>
      <w:proofErr w:type="gramEnd"/>
    </w:p>
    <w:p w:rsidR="00D65DB8" w:rsidRPr="00FB46CA" w:rsidRDefault="00D65DB8" w:rsidP="00135ACA">
      <w:pPr>
        <w:spacing w:after="0" w:line="240" w:lineRule="auto"/>
        <w:ind w:left="360"/>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(Relacionada con las causas directas </w:t>
      </w:r>
      <w:r w:rsidR="00D65DB8" w:rsidRPr="00B91CEC">
        <w:rPr>
          <w:rFonts w:ascii="Arial" w:hAnsi="Arial" w:cs="Arial"/>
          <w:b/>
          <w:color w:val="000000" w:themeColor="text1"/>
          <w:sz w:val="24"/>
          <w:szCs w:val="24"/>
          <w:lang w:val="es-MX"/>
        </w:rPr>
        <w:t>3.5</w:t>
      </w:r>
      <w:r w:rsidRPr="00B91CEC">
        <w:rPr>
          <w:rFonts w:ascii="Arial" w:hAnsi="Arial" w:cs="Arial"/>
          <w:b/>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B91CEC" w:rsidRDefault="00B91CEC" w:rsidP="00B91CEC">
      <w:pPr>
        <w:pStyle w:val="Prrafodelista"/>
        <w:numPr>
          <w:ilvl w:val="0"/>
          <w:numId w:val="45"/>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Financiar el acceso y permanencia en la educación superior a 2.000 jóvenes en situación de vulnerabilidad.</w:t>
      </w:r>
    </w:p>
    <w:p w:rsidR="00B91CEC" w:rsidRPr="00B91CEC" w:rsidRDefault="00B91CEC" w:rsidP="00B91CEC">
      <w:pPr>
        <w:pStyle w:val="Prrafodelista"/>
        <w:spacing w:after="0" w:line="240" w:lineRule="auto"/>
        <w:ind w:left="284"/>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(Relacionada con la causa directa 3.</w:t>
      </w:r>
      <w:r w:rsidR="00D65DB8" w:rsidRPr="00B91CEC">
        <w:rPr>
          <w:rFonts w:ascii="Arial" w:hAnsi="Arial" w:cs="Arial"/>
          <w:b/>
          <w:color w:val="000000" w:themeColor="text1"/>
          <w:sz w:val="24"/>
          <w:szCs w:val="24"/>
          <w:lang w:val="es-MX"/>
        </w:rPr>
        <w:t>6</w:t>
      </w:r>
      <w:r w:rsidRPr="00B91CEC">
        <w:rPr>
          <w:rFonts w:ascii="Arial" w:hAnsi="Arial" w:cs="Arial"/>
          <w:b/>
          <w:color w:val="000000" w:themeColor="text1"/>
          <w:sz w:val="24"/>
          <w:szCs w:val="24"/>
          <w:lang w:val="es-MX"/>
        </w:rPr>
        <w:t>)</w:t>
      </w:r>
      <w:bookmarkStart w:id="9" w:name="_GoBack"/>
      <w:bookmarkEnd w:id="9"/>
    </w:p>
    <w:sectPr w:rsidR="00385F2A" w:rsidRPr="00B91CEC" w:rsidSect="00BE195F">
      <w:headerReference w:type="default" r:id="rId9"/>
      <w:footerReference w:type="default" r:id="rId10"/>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85" w:rsidRDefault="00651685" w:rsidP="00BF34D3">
      <w:pPr>
        <w:spacing w:after="0" w:line="240" w:lineRule="auto"/>
      </w:pPr>
      <w:r>
        <w:separator/>
      </w:r>
    </w:p>
  </w:endnote>
  <w:endnote w:type="continuationSeparator" w:id="0">
    <w:p w:rsidR="00651685" w:rsidRDefault="00651685" w:rsidP="00BF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DD" w:rsidRDefault="00A739DD">
    <w:pPr>
      <w:pStyle w:val="Piedepgina"/>
      <w:jc w:val="center"/>
    </w:pPr>
    <w:r>
      <w:fldChar w:fldCharType="begin"/>
    </w:r>
    <w:r>
      <w:instrText>PAGE   \* MERGEFORMAT</w:instrText>
    </w:r>
    <w:r>
      <w:fldChar w:fldCharType="separate"/>
    </w:r>
    <w:r w:rsidR="00BE195F" w:rsidRPr="00BE195F">
      <w:rPr>
        <w:noProof/>
        <w:lang w:val="es-ES"/>
      </w:rPr>
      <w:t>9</w:t>
    </w:r>
    <w:r>
      <w:rPr>
        <w:noProof/>
        <w:lang w:val="es-ES"/>
      </w:rPr>
      <w:fldChar w:fldCharType="end"/>
    </w:r>
  </w:p>
  <w:p w:rsidR="00A739DD" w:rsidRDefault="00A73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85" w:rsidRDefault="00651685" w:rsidP="00BF34D3">
      <w:pPr>
        <w:spacing w:after="0" w:line="240" w:lineRule="auto"/>
      </w:pPr>
      <w:r>
        <w:separator/>
      </w:r>
    </w:p>
  </w:footnote>
  <w:footnote w:type="continuationSeparator" w:id="0">
    <w:p w:rsidR="00651685" w:rsidRDefault="00651685" w:rsidP="00BF34D3">
      <w:pPr>
        <w:spacing w:after="0" w:line="240" w:lineRule="auto"/>
      </w:pPr>
      <w:r>
        <w:continuationSeparator/>
      </w:r>
    </w:p>
  </w:footnote>
  <w:footnote w:id="1">
    <w:p w:rsidR="00A739DD" w:rsidRDefault="00A739DD" w:rsidP="007C6D2D">
      <w:pPr>
        <w:pStyle w:val="Textonotapie"/>
      </w:pPr>
      <w:r w:rsidRPr="00412D0E">
        <w:rPr>
          <w:rStyle w:val="Refdenotaalpie"/>
          <w:sz w:val="18"/>
          <w:szCs w:val="18"/>
        </w:rPr>
        <w:footnoteRef/>
      </w:r>
      <w:r w:rsidRPr="00412D0E">
        <w:rPr>
          <w:sz w:val="18"/>
          <w:szCs w:val="18"/>
        </w:rPr>
        <w:t xml:space="preserve"> Gamarra, J. 2007. </w:t>
      </w:r>
      <w:smartTag w:uri="urn:schemas-microsoft-com:office:smarttags" w:element="PersonName">
        <w:smartTagPr>
          <w:attr w:name="ProductID" w:val="La Econom￭a"/>
        </w:smartTagPr>
        <w:r w:rsidRPr="00412D0E">
          <w:rPr>
            <w:sz w:val="18"/>
            <w:szCs w:val="18"/>
          </w:rPr>
          <w:t>La Economía</w:t>
        </w:r>
      </w:smartTag>
      <w:r w:rsidRPr="00412D0E">
        <w:rPr>
          <w:sz w:val="18"/>
          <w:szCs w:val="18"/>
        </w:rPr>
        <w:t xml:space="preserve"> del Departamento del Cauca. Concentración de Tierras y Pobreza. Centro de Estudios Económicos Regionales. Cartagena: Banco de </w:t>
      </w:r>
      <w:smartTag w:uri="urn:schemas-microsoft-com:office:smarttags" w:element="PersonName">
        <w:smartTagPr>
          <w:attr w:name="ProductID" w:val="la Rep￺blica"/>
        </w:smartTagPr>
        <w:r w:rsidRPr="00412D0E">
          <w:rPr>
            <w:sz w:val="18"/>
            <w:szCs w:val="18"/>
          </w:rPr>
          <w:t>La República</w:t>
        </w:r>
      </w:smartTag>
    </w:p>
  </w:footnote>
  <w:footnote w:id="2">
    <w:p w:rsidR="00A739DD" w:rsidRDefault="00A739DD" w:rsidP="007C6D2D">
      <w:pPr>
        <w:pStyle w:val="Textonotapie"/>
        <w:jc w:val="both"/>
      </w:pPr>
      <w:r w:rsidRPr="00DF7BEA">
        <w:rPr>
          <w:rStyle w:val="Refdenotaalpie"/>
          <w:sz w:val="18"/>
          <w:szCs w:val="18"/>
        </w:rPr>
        <w:footnoteRef/>
      </w:r>
      <w:r w:rsidRPr="00DF7BEA">
        <w:rPr>
          <w:sz w:val="18"/>
          <w:szCs w:val="18"/>
        </w:rPr>
        <w:t xml:space="preserve"> </w:t>
      </w:r>
      <w:r w:rsidRPr="00DF7BEA">
        <w:rPr>
          <w:sz w:val="18"/>
          <w:szCs w:val="18"/>
          <w:lang w:val="es-MX"/>
        </w:rPr>
        <w:t xml:space="preserve">No aparecen algunos datos de </w:t>
      </w:r>
      <w:proofErr w:type="spellStart"/>
      <w:r w:rsidRPr="00DF7BEA">
        <w:rPr>
          <w:sz w:val="18"/>
          <w:szCs w:val="18"/>
          <w:lang w:val="es-MX"/>
        </w:rPr>
        <w:t>Guachené</w:t>
      </w:r>
      <w:proofErr w:type="spellEnd"/>
      <w:r w:rsidRPr="00DF7BEA">
        <w:rPr>
          <w:sz w:val="18"/>
          <w:szCs w:val="18"/>
          <w:lang w:val="es-MX"/>
        </w:rPr>
        <w:t xml:space="preserve"> por su reciente creación, sus datos deben ser muy similares a Caloto porque de él se desmembró para ser creado como nuevo municipio. </w:t>
      </w:r>
    </w:p>
  </w:footnote>
  <w:footnote w:id="3">
    <w:p w:rsidR="00A739DD" w:rsidRDefault="00A739DD" w:rsidP="007C6D2D">
      <w:pPr>
        <w:pStyle w:val="Textonotapie"/>
        <w:jc w:val="both"/>
      </w:pPr>
      <w:r w:rsidRPr="00604969">
        <w:rPr>
          <w:rStyle w:val="Refdenotaalpie"/>
        </w:rPr>
        <w:footnoteRef/>
      </w:r>
      <w:r w:rsidRPr="00604969">
        <w:t xml:space="preserve"> </w:t>
      </w:r>
      <w:r w:rsidRPr="00EE00D1">
        <w:rPr>
          <w:sz w:val="18"/>
          <w:szCs w:val="18"/>
        </w:rPr>
        <w:t>Región Socialmente Responsable. Norte del Cauca. Instituto de Prospectiva, Innovación y Gestión del Conocimiento. Universidad del Valle. 2010</w:t>
      </w:r>
    </w:p>
  </w:footnote>
  <w:footnote w:id="4">
    <w:p w:rsidR="00A739DD" w:rsidRDefault="00A739DD" w:rsidP="007C6D2D">
      <w:pPr>
        <w:pStyle w:val="Textonotapie"/>
        <w:jc w:val="both"/>
      </w:pPr>
      <w:r w:rsidRPr="00EE00D1">
        <w:rPr>
          <w:rStyle w:val="Refdenotaalpie"/>
          <w:sz w:val="18"/>
          <w:szCs w:val="18"/>
        </w:rPr>
        <w:footnoteRef/>
      </w:r>
      <w:r w:rsidRPr="00EE00D1">
        <w:rPr>
          <w:sz w:val="18"/>
          <w:szCs w:val="18"/>
        </w:rPr>
        <w:t xml:space="preserve"> </w:t>
      </w:r>
      <w:r w:rsidRPr="000913A5">
        <w:rPr>
          <w:sz w:val="18"/>
          <w:szCs w:val="18"/>
          <w:lang w:val="es-MX"/>
        </w:rPr>
        <w:t xml:space="preserve">De </w:t>
      </w:r>
      <w:proofErr w:type="spellStart"/>
      <w:r w:rsidRPr="000913A5">
        <w:rPr>
          <w:sz w:val="18"/>
          <w:szCs w:val="18"/>
          <w:lang w:val="es-MX"/>
        </w:rPr>
        <w:t>Roux</w:t>
      </w:r>
      <w:proofErr w:type="spellEnd"/>
      <w:r w:rsidRPr="000913A5">
        <w:rPr>
          <w:sz w:val="18"/>
          <w:szCs w:val="18"/>
          <w:lang w:val="es-MX"/>
        </w:rPr>
        <w:t>, Gustavo. (2010): Proyección Milenio. Proyectos con mínimas apuestas para lograr el máximo impacto posible sobre el conjunto de los Objetivos de Desarrollo del Milenio</w:t>
      </w:r>
    </w:p>
  </w:footnote>
  <w:footnote w:id="5">
    <w:p w:rsidR="00A739DD" w:rsidRPr="00D33AB4" w:rsidRDefault="00A739DD" w:rsidP="007C6D2D">
      <w:pPr>
        <w:pStyle w:val="Textonotapie"/>
        <w:jc w:val="both"/>
        <w:rPr>
          <w:lang w:val="en-US"/>
        </w:rPr>
      </w:pPr>
      <w:r w:rsidRPr="008573CA">
        <w:rPr>
          <w:rStyle w:val="Refdenotaalpie"/>
        </w:rPr>
        <w:footnoteRef/>
      </w:r>
      <w:r w:rsidRPr="008573CA">
        <w:rPr>
          <w:lang w:val="en-US"/>
        </w:rPr>
        <w:t xml:space="preserve"> Op. Cit 2.</w:t>
      </w:r>
    </w:p>
  </w:footnote>
  <w:footnote w:id="6">
    <w:p w:rsidR="00A739DD" w:rsidRDefault="00A739DD" w:rsidP="00BF1E09">
      <w:pPr>
        <w:pStyle w:val="Textonotapie"/>
        <w:jc w:val="both"/>
      </w:pPr>
      <w:r w:rsidRPr="008573CA">
        <w:rPr>
          <w:rStyle w:val="Refdenotaalpie"/>
        </w:rPr>
        <w:footnoteRef/>
      </w:r>
      <w:r w:rsidRPr="008573CA">
        <w:rPr>
          <w:lang w:val="en-US"/>
        </w:rPr>
        <w:t xml:space="preserve"> </w:t>
      </w:r>
      <w:proofErr w:type="spellStart"/>
      <w:proofErr w:type="gramStart"/>
      <w:r w:rsidRPr="008573CA">
        <w:rPr>
          <w:lang w:val="en-US"/>
        </w:rPr>
        <w:t>Banco</w:t>
      </w:r>
      <w:proofErr w:type="spellEnd"/>
      <w:r w:rsidRPr="008573CA">
        <w:rPr>
          <w:lang w:val="en-US"/>
        </w:rPr>
        <w:t xml:space="preserve"> Mundial, (2008).</w:t>
      </w:r>
      <w:proofErr w:type="gramEnd"/>
      <w:r w:rsidRPr="008573CA">
        <w:rPr>
          <w:lang w:val="en-US"/>
        </w:rPr>
        <w:t xml:space="preserve"> Project Appraisal Document on a Proposed Loan in the Amount of US$300 Million to the "</w:t>
      </w:r>
      <w:proofErr w:type="spellStart"/>
      <w:r w:rsidRPr="008573CA">
        <w:rPr>
          <w:lang w:val="en-US"/>
        </w:rPr>
        <w:t>ICETEX</w:t>
      </w:r>
      <w:proofErr w:type="spellEnd"/>
      <w:r w:rsidRPr="008573CA">
        <w:rPr>
          <w:lang w:val="en-US"/>
        </w:rPr>
        <w:t xml:space="preserve">" with the Guarantee of the Republic of Colombia for a Second Student Loan Support Project in Improving Access and Quality in Higher Education Programs. </w:t>
      </w:r>
      <w:r w:rsidRPr="008573CA">
        <w:t xml:space="preserve">Washington </w:t>
      </w:r>
      <w:proofErr w:type="spellStart"/>
      <w:r w:rsidRPr="008573CA">
        <w:t>D.C</w:t>
      </w:r>
      <w:proofErr w:type="spellEnd"/>
    </w:p>
  </w:footnote>
  <w:footnote w:id="7">
    <w:p w:rsidR="00A739DD" w:rsidRDefault="00A739DD" w:rsidP="00BF1E09">
      <w:pPr>
        <w:pStyle w:val="Textonotapie"/>
        <w:jc w:val="both"/>
      </w:pPr>
      <w:r w:rsidRPr="008573CA">
        <w:rPr>
          <w:rStyle w:val="Refdenotaalpie"/>
        </w:rPr>
        <w:footnoteRef/>
      </w:r>
      <w:r w:rsidRPr="008573CA">
        <w:t xml:space="preserve"> </w:t>
      </w:r>
      <w:proofErr w:type="spellStart"/>
      <w:r w:rsidRPr="008573CA">
        <w:t>IEASALC</w:t>
      </w:r>
      <w:proofErr w:type="spellEnd"/>
      <w:r w:rsidRPr="008573CA">
        <w:t xml:space="preserve"> (2004). Diagnóstico sobre la educación superior indígena en Colombia. Observatorio Digital para la Educación Superior en América Latina y el Caribe. </w:t>
      </w:r>
      <w:r w:rsidRPr="007C6D2D">
        <w:rPr>
          <w:lang w:val="es-ES"/>
        </w:rPr>
        <w:t>Caracas:</w:t>
      </w:r>
      <w:r w:rsidRPr="007C6D2D">
        <w:rPr>
          <w:b/>
          <w:bCs/>
          <w:lang w:val="es-ES"/>
        </w:rPr>
        <w:t xml:space="preserve"> </w:t>
      </w:r>
      <w:proofErr w:type="spellStart"/>
      <w:r w:rsidRPr="007C6D2D">
        <w:rPr>
          <w:lang w:val="es-ES"/>
        </w:rPr>
        <w:t>ONIC</w:t>
      </w:r>
      <w:proofErr w:type="spellEnd"/>
      <w:r w:rsidRPr="007C6D2D">
        <w:rPr>
          <w:lang w:val="es-ES"/>
        </w:rPr>
        <w:t xml:space="preserve">, CRIC, </w:t>
      </w:r>
      <w:proofErr w:type="spellStart"/>
      <w:r w:rsidRPr="007C6D2D">
        <w:rPr>
          <w:lang w:val="es-ES"/>
        </w:rPr>
        <w:t>IESALC</w:t>
      </w:r>
      <w:proofErr w:type="spellEnd"/>
      <w:r w:rsidRPr="007C6D2D">
        <w:rPr>
          <w:lang w:val="es-ES"/>
        </w:rPr>
        <w:t xml:space="preserve"> - UNESCO</w:t>
      </w:r>
    </w:p>
  </w:footnote>
  <w:footnote w:id="8">
    <w:p w:rsidR="00A739DD" w:rsidRDefault="00A739DD" w:rsidP="007C6D2D">
      <w:pPr>
        <w:pStyle w:val="Textonotapie"/>
      </w:pPr>
      <w:r>
        <w:rPr>
          <w:rStyle w:val="Refdenotaalpie"/>
        </w:rPr>
        <w:footnoteRef/>
      </w:r>
      <w:r>
        <w:t xml:space="preserve"> Perfil de Educación Superior Departamento del Cauca. Ministerio de Educación Nacional 2011.</w:t>
      </w:r>
    </w:p>
  </w:footnote>
  <w:footnote w:id="9">
    <w:p w:rsidR="00A739DD" w:rsidRPr="00B228EA" w:rsidRDefault="00A739DD" w:rsidP="007C6D2D">
      <w:pPr>
        <w:ind w:left="120" w:hanging="120"/>
        <w:jc w:val="both"/>
        <w:rPr>
          <w:sz w:val="20"/>
          <w:szCs w:val="20"/>
        </w:rPr>
      </w:pPr>
      <w:r w:rsidRPr="00604969">
        <w:rPr>
          <w:rStyle w:val="Refdenotaalpie"/>
          <w:rFonts w:cs="Calibri"/>
          <w:sz w:val="20"/>
          <w:szCs w:val="20"/>
        </w:rPr>
        <w:footnoteRef/>
      </w:r>
      <w:r w:rsidRPr="00E112B8">
        <w:rPr>
          <w:sz w:val="20"/>
          <w:szCs w:val="20"/>
        </w:rPr>
        <w:t xml:space="preserve"> Tomado de Uribe, Lina (Próximo). </w:t>
      </w:r>
      <w:r>
        <w:rPr>
          <w:sz w:val="20"/>
          <w:szCs w:val="20"/>
        </w:rPr>
        <w:t xml:space="preserve">Acceso a la Educación Superior en Colombia: Formulación y Resultados de la Política Pública. </w:t>
      </w:r>
      <w:proofErr w:type="spellStart"/>
      <w:proofErr w:type="gramStart"/>
      <w:r w:rsidRPr="00E112B8">
        <w:rPr>
          <w:sz w:val="20"/>
          <w:szCs w:val="20"/>
          <w:lang w:val="en-US"/>
        </w:rPr>
        <w:t>Tesis</w:t>
      </w:r>
      <w:proofErr w:type="spellEnd"/>
      <w:r w:rsidRPr="00E112B8">
        <w:rPr>
          <w:sz w:val="20"/>
          <w:szCs w:val="20"/>
          <w:lang w:val="en-US"/>
        </w:rPr>
        <w:t xml:space="preserve"> Doctoral.</w:t>
      </w:r>
      <w:proofErr w:type="gramEnd"/>
      <w:r w:rsidRPr="00E112B8">
        <w:rPr>
          <w:sz w:val="20"/>
          <w:szCs w:val="20"/>
          <w:lang w:val="en-US"/>
        </w:rPr>
        <w:t xml:space="preserve"> </w:t>
      </w:r>
      <w:proofErr w:type="gramStart"/>
      <w:r w:rsidRPr="00E112B8">
        <w:rPr>
          <w:sz w:val="20"/>
          <w:szCs w:val="20"/>
          <w:lang w:val="en-US"/>
        </w:rPr>
        <w:t>State University of New York – University at Albany.</w:t>
      </w:r>
      <w:proofErr w:type="gramEnd"/>
      <w:r w:rsidRPr="00E112B8">
        <w:rPr>
          <w:sz w:val="20"/>
          <w:szCs w:val="20"/>
          <w:lang w:val="en-US"/>
        </w:rPr>
        <w:t xml:space="preserve"> </w:t>
      </w:r>
      <w:proofErr w:type="gramStart"/>
      <w:r w:rsidRPr="00E112B8">
        <w:rPr>
          <w:sz w:val="20"/>
          <w:szCs w:val="20"/>
          <w:lang w:val="en-US"/>
        </w:rPr>
        <w:t xml:space="preserve">McDonough, Patricia, and Amy J. </w:t>
      </w:r>
      <w:proofErr w:type="spellStart"/>
      <w:r w:rsidRPr="00E112B8">
        <w:rPr>
          <w:sz w:val="20"/>
          <w:szCs w:val="20"/>
          <w:lang w:val="en-US"/>
        </w:rPr>
        <w:t>Fann</w:t>
      </w:r>
      <w:proofErr w:type="spellEnd"/>
      <w:r w:rsidRPr="00E112B8">
        <w:rPr>
          <w:sz w:val="20"/>
          <w:szCs w:val="20"/>
          <w:lang w:val="en-US"/>
        </w:rPr>
        <w:t>.</w:t>
      </w:r>
      <w:proofErr w:type="gramEnd"/>
      <w:r w:rsidRPr="00E112B8">
        <w:rPr>
          <w:sz w:val="20"/>
          <w:szCs w:val="20"/>
          <w:lang w:val="en-US"/>
        </w:rPr>
        <w:t xml:space="preserve"> 2007. </w:t>
      </w:r>
      <w:r w:rsidRPr="008573CA">
        <w:rPr>
          <w:sz w:val="20"/>
          <w:szCs w:val="20"/>
          <w:lang w:val="en-US"/>
        </w:rPr>
        <w:t xml:space="preserve">The Study of Inequality. </w:t>
      </w:r>
      <w:proofErr w:type="gramStart"/>
      <w:r w:rsidRPr="008573CA">
        <w:rPr>
          <w:sz w:val="20"/>
          <w:szCs w:val="20"/>
          <w:lang w:val="en-US"/>
        </w:rPr>
        <w:t xml:space="preserve">In </w:t>
      </w:r>
      <w:r w:rsidRPr="008573CA">
        <w:rPr>
          <w:i/>
          <w:iCs/>
          <w:sz w:val="20"/>
          <w:szCs w:val="20"/>
          <w:lang w:val="en-US"/>
        </w:rPr>
        <w:t>Sociology of Higher Education.</w:t>
      </w:r>
      <w:proofErr w:type="gramEnd"/>
      <w:r w:rsidRPr="008573CA">
        <w:rPr>
          <w:i/>
          <w:iCs/>
          <w:sz w:val="20"/>
          <w:szCs w:val="20"/>
          <w:lang w:val="en-US"/>
        </w:rPr>
        <w:t xml:space="preserve"> Contributions and their Contexts</w:t>
      </w:r>
      <w:r w:rsidRPr="008573CA">
        <w:rPr>
          <w:sz w:val="20"/>
          <w:szCs w:val="20"/>
          <w:lang w:val="en-US"/>
        </w:rPr>
        <w:t xml:space="preserve">, edited by P. </w:t>
      </w:r>
      <w:proofErr w:type="spellStart"/>
      <w:r w:rsidRPr="008573CA">
        <w:rPr>
          <w:sz w:val="20"/>
          <w:szCs w:val="20"/>
          <w:lang w:val="en-US"/>
        </w:rPr>
        <w:t>Gumport</w:t>
      </w:r>
      <w:proofErr w:type="spellEnd"/>
      <w:r w:rsidRPr="008573CA">
        <w:rPr>
          <w:sz w:val="20"/>
          <w:szCs w:val="20"/>
          <w:lang w:val="en-US"/>
        </w:rPr>
        <w:t xml:space="preserve">. </w:t>
      </w:r>
      <w:proofErr w:type="gramStart"/>
      <w:r w:rsidRPr="008573CA">
        <w:rPr>
          <w:sz w:val="20"/>
          <w:szCs w:val="20"/>
          <w:lang w:val="en-US"/>
        </w:rPr>
        <w:t>Paulsen, Michael, and Edward P. St. John.</w:t>
      </w:r>
      <w:proofErr w:type="gramEnd"/>
      <w:r w:rsidRPr="008573CA">
        <w:rPr>
          <w:sz w:val="20"/>
          <w:szCs w:val="20"/>
          <w:lang w:val="en-US"/>
        </w:rPr>
        <w:t xml:space="preserve"> 2002. Social Class and College Costs: Examining the Financial Nexus between College Choice and Persistence. </w:t>
      </w:r>
      <w:r w:rsidRPr="00B228EA">
        <w:rPr>
          <w:i/>
          <w:iCs/>
          <w:sz w:val="20"/>
          <w:szCs w:val="20"/>
        </w:rPr>
        <w:t>Journal of Higher Education</w:t>
      </w:r>
      <w:r w:rsidRPr="00B228EA">
        <w:rPr>
          <w:sz w:val="20"/>
          <w:szCs w:val="20"/>
        </w:rPr>
        <w:t xml:space="preserve"> 73 (2):189-236. </w:t>
      </w:r>
    </w:p>
    <w:p w:rsidR="00A739DD" w:rsidRPr="00B228EA" w:rsidRDefault="00A739DD" w:rsidP="007C6D2D">
      <w:pPr>
        <w:ind w:left="120" w:hanging="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DD" w:rsidRDefault="00A739DD">
    <w:pPr>
      <w:pStyle w:val="Encabezado"/>
      <w:jc w:val="center"/>
    </w:pPr>
  </w:p>
  <w:p w:rsidR="00A739DD" w:rsidRDefault="00A739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E0C192"/>
    <w:lvl w:ilvl="0">
      <w:start w:val="1"/>
      <w:numFmt w:val="decimal"/>
      <w:lvlText w:val="%1."/>
      <w:lvlJc w:val="left"/>
      <w:pPr>
        <w:tabs>
          <w:tab w:val="num" w:pos="360"/>
        </w:tabs>
        <w:ind w:left="360" w:hanging="360"/>
      </w:pPr>
      <w:rPr>
        <w:rFonts w:cs="Times New Roman"/>
      </w:rPr>
    </w:lvl>
  </w:abstractNum>
  <w:abstractNum w:abstractNumId="1">
    <w:nsid w:val="03021D09"/>
    <w:multiLevelType w:val="hybridMultilevel"/>
    <w:tmpl w:val="1B46B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295A57"/>
    <w:multiLevelType w:val="hybridMultilevel"/>
    <w:tmpl w:val="BB64638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B10158A"/>
    <w:multiLevelType w:val="multilevel"/>
    <w:tmpl w:val="156ACB1E"/>
    <w:lvl w:ilvl="0">
      <w:start w:val="11"/>
      <w:numFmt w:val="decimal"/>
      <w:lvlText w:val="%1."/>
      <w:lvlJc w:val="left"/>
      <w:pPr>
        <w:ind w:left="480" w:hanging="480"/>
      </w:pPr>
      <w:rPr>
        <w:rFonts w:cs="Times New Roman" w:hint="default"/>
        <w:b w:val="0"/>
        <w:sz w:val="24"/>
        <w:szCs w:val="24"/>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3D658C"/>
    <w:multiLevelType w:val="hybridMultilevel"/>
    <w:tmpl w:val="2D907D6A"/>
    <w:lvl w:ilvl="0" w:tplc="DC680C16">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14002C4"/>
    <w:multiLevelType w:val="multilevel"/>
    <w:tmpl w:val="C73251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nsid w:val="15DA737A"/>
    <w:multiLevelType w:val="hybridMultilevel"/>
    <w:tmpl w:val="BCA470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014102"/>
    <w:multiLevelType w:val="hybridMultilevel"/>
    <w:tmpl w:val="5D307506"/>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nsid w:val="1C2F7A8D"/>
    <w:multiLevelType w:val="hybridMultilevel"/>
    <w:tmpl w:val="7598E0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6C0784"/>
    <w:multiLevelType w:val="hybridMultilevel"/>
    <w:tmpl w:val="0938E6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D65EBC"/>
    <w:multiLevelType w:val="multilevel"/>
    <w:tmpl w:val="575265F2"/>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36D469D"/>
    <w:multiLevelType w:val="hybridMultilevel"/>
    <w:tmpl w:val="5DA60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843B8"/>
    <w:multiLevelType w:val="multilevel"/>
    <w:tmpl w:val="74901872"/>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4D4019"/>
    <w:multiLevelType w:val="hybridMultilevel"/>
    <w:tmpl w:val="094632F8"/>
    <w:lvl w:ilvl="0" w:tplc="8C865F1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67F5767"/>
    <w:multiLevelType w:val="hybridMultilevel"/>
    <w:tmpl w:val="CBE83438"/>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nsid w:val="3A620C08"/>
    <w:multiLevelType w:val="hybridMultilevel"/>
    <w:tmpl w:val="71C64C8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B68354D"/>
    <w:multiLevelType w:val="hybridMultilevel"/>
    <w:tmpl w:val="23BE7EA8"/>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815690"/>
    <w:multiLevelType w:val="multilevel"/>
    <w:tmpl w:val="FA7E4F8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3CF42CA2"/>
    <w:multiLevelType w:val="multilevel"/>
    <w:tmpl w:val="9676C3A0"/>
    <w:lvl w:ilvl="0">
      <w:start w:val="3"/>
      <w:numFmt w:val="decimal"/>
      <w:lvlText w:val="%1."/>
      <w:lvlJc w:val="left"/>
      <w:pPr>
        <w:ind w:left="390" w:hanging="390"/>
      </w:pPr>
      <w:rPr>
        <w:rFonts w:cs="Times New Roman" w:hint="default"/>
        <w:b w:val="0"/>
        <w:i w:val="0"/>
        <w:color w:val="auto"/>
        <w:sz w:val="24"/>
      </w:rPr>
    </w:lvl>
    <w:lvl w:ilvl="1">
      <w:start w:val="3"/>
      <w:numFmt w:val="decimal"/>
      <w:lvlText w:val="%1.%2."/>
      <w:lvlJc w:val="left"/>
      <w:pPr>
        <w:ind w:left="720" w:hanging="720"/>
      </w:pPr>
      <w:rPr>
        <w:rFonts w:cs="Times New Roman" w:hint="default"/>
        <w:i w:val="0"/>
        <w:color w:val="auto"/>
        <w:sz w:val="24"/>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1080" w:hanging="1080"/>
      </w:pPr>
      <w:rPr>
        <w:rFonts w:cs="Times New Roman" w:hint="default"/>
        <w:i w:val="0"/>
        <w:sz w:val="24"/>
      </w:rPr>
    </w:lvl>
    <w:lvl w:ilvl="4">
      <w:start w:val="1"/>
      <w:numFmt w:val="decimal"/>
      <w:lvlText w:val="%1.%2.%3.%4.%5."/>
      <w:lvlJc w:val="left"/>
      <w:pPr>
        <w:ind w:left="1440" w:hanging="1440"/>
      </w:pPr>
      <w:rPr>
        <w:rFonts w:cs="Times New Roman" w:hint="default"/>
        <w:i w:val="0"/>
        <w:sz w:val="24"/>
      </w:rPr>
    </w:lvl>
    <w:lvl w:ilvl="5">
      <w:start w:val="1"/>
      <w:numFmt w:val="decimal"/>
      <w:lvlText w:val="%1.%2.%3.%4.%5.%6."/>
      <w:lvlJc w:val="left"/>
      <w:pPr>
        <w:ind w:left="1440" w:hanging="1440"/>
      </w:pPr>
      <w:rPr>
        <w:rFonts w:cs="Times New Roman" w:hint="default"/>
        <w:i w:val="0"/>
        <w:sz w:val="24"/>
      </w:rPr>
    </w:lvl>
    <w:lvl w:ilvl="6">
      <w:start w:val="1"/>
      <w:numFmt w:val="decimal"/>
      <w:lvlText w:val="%1.%2.%3.%4.%5.%6.%7."/>
      <w:lvlJc w:val="left"/>
      <w:pPr>
        <w:ind w:left="1800" w:hanging="1800"/>
      </w:pPr>
      <w:rPr>
        <w:rFonts w:cs="Times New Roman" w:hint="default"/>
        <w:i w:val="0"/>
        <w:sz w:val="24"/>
      </w:rPr>
    </w:lvl>
    <w:lvl w:ilvl="7">
      <w:start w:val="1"/>
      <w:numFmt w:val="decimal"/>
      <w:lvlText w:val="%1.%2.%3.%4.%5.%6.%7.%8."/>
      <w:lvlJc w:val="left"/>
      <w:pPr>
        <w:ind w:left="2160" w:hanging="2160"/>
      </w:pPr>
      <w:rPr>
        <w:rFonts w:cs="Times New Roman" w:hint="default"/>
        <w:i w:val="0"/>
        <w:sz w:val="24"/>
      </w:rPr>
    </w:lvl>
    <w:lvl w:ilvl="8">
      <w:start w:val="1"/>
      <w:numFmt w:val="decimal"/>
      <w:lvlText w:val="%1.%2.%3.%4.%5.%6.%7.%8.%9."/>
      <w:lvlJc w:val="left"/>
      <w:pPr>
        <w:ind w:left="2160" w:hanging="2160"/>
      </w:pPr>
      <w:rPr>
        <w:rFonts w:cs="Times New Roman" w:hint="default"/>
        <w:i w:val="0"/>
        <w:sz w:val="24"/>
      </w:rPr>
    </w:lvl>
  </w:abstractNum>
  <w:abstractNum w:abstractNumId="19">
    <w:nsid w:val="3E4E04A0"/>
    <w:multiLevelType w:val="hybridMultilevel"/>
    <w:tmpl w:val="9C6C8536"/>
    <w:lvl w:ilvl="0" w:tplc="5F62BA70">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1EA5D97"/>
    <w:multiLevelType w:val="hybridMultilevel"/>
    <w:tmpl w:val="459E15F4"/>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E55969"/>
    <w:multiLevelType w:val="hybridMultilevel"/>
    <w:tmpl w:val="D5E2F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696CBD"/>
    <w:multiLevelType w:val="hybridMultilevel"/>
    <w:tmpl w:val="C83E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E63546"/>
    <w:multiLevelType w:val="hybridMultilevel"/>
    <w:tmpl w:val="DDAA838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94B73C4"/>
    <w:multiLevelType w:val="multilevel"/>
    <w:tmpl w:val="C99CE5AA"/>
    <w:lvl w:ilvl="0">
      <w:start w:val="1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9C00626"/>
    <w:multiLevelType w:val="multilevel"/>
    <w:tmpl w:val="1BAE51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AAA11CD"/>
    <w:multiLevelType w:val="hybridMultilevel"/>
    <w:tmpl w:val="D034E8B8"/>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AC7669C"/>
    <w:multiLevelType w:val="hybridMultilevel"/>
    <w:tmpl w:val="950EC01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4B8C08B4"/>
    <w:multiLevelType w:val="hybridMultilevel"/>
    <w:tmpl w:val="AAC6107E"/>
    <w:lvl w:ilvl="0" w:tplc="240A000F">
      <w:start w:val="1"/>
      <w:numFmt w:val="decimal"/>
      <w:pStyle w:val="Listaconnmero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4CCA2D3C"/>
    <w:multiLevelType w:val="hybridMultilevel"/>
    <w:tmpl w:val="C1CAD378"/>
    <w:lvl w:ilvl="0" w:tplc="7FFEAC98">
      <w:start w:val="26"/>
      <w:numFmt w:val="bullet"/>
      <w:lvlText w:val="-"/>
      <w:lvlJc w:val="left"/>
      <w:pPr>
        <w:ind w:left="786" w:hanging="360"/>
      </w:pPr>
      <w:rPr>
        <w:rFonts w:ascii="Arial" w:eastAsia="Times New Roman" w:hAnsi="Arial" w:hint="default"/>
      </w:rPr>
    </w:lvl>
    <w:lvl w:ilvl="1" w:tplc="240A0003" w:tentative="1">
      <w:start w:val="1"/>
      <w:numFmt w:val="bullet"/>
      <w:lvlText w:val="o"/>
      <w:lvlJc w:val="left"/>
      <w:pPr>
        <w:ind w:left="1506" w:hanging="360"/>
      </w:pPr>
      <w:rPr>
        <w:rFonts w:ascii="Courier New" w:hAnsi="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nsid w:val="536B650C"/>
    <w:multiLevelType w:val="hybridMultilevel"/>
    <w:tmpl w:val="97E6E6F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568167A4"/>
    <w:multiLevelType w:val="hybridMultilevel"/>
    <w:tmpl w:val="7E18DB7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5B191ECE"/>
    <w:multiLevelType w:val="multilevel"/>
    <w:tmpl w:val="73368094"/>
    <w:lvl w:ilvl="0">
      <w:start w:val="1"/>
      <w:numFmt w:val="decimal"/>
      <w:lvlText w:val="%1."/>
      <w:lvlJc w:val="left"/>
      <w:pPr>
        <w:ind w:left="1353" w:hanging="360"/>
      </w:pPr>
      <w:rPr>
        <w:b w:val="0"/>
        <w:sz w:val="24"/>
        <w:szCs w:val="24"/>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E84296"/>
    <w:multiLevelType w:val="hybridMultilevel"/>
    <w:tmpl w:val="683C5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8293E"/>
    <w:multiLevelType w:val="hybridMultilevel"/>
    <w:tmpl w:val="C06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E25946"/>
    <w:multiLevelType w:val="hybridMultilevel"/>
    <w:tmpl w:val="228A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765C01"/>
    <w:multiLevelType w:val="hybridMultilevel"/>
    <w:tmpl w:val="6AA6D6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8F0825"/>
    <w:multiLevelType w:val="hybridMultilevel"/>
    <w:tmpl w:val="4FA4DC9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567438C"/>
    <w:multiLevelType w:val="hybridMultilevel"/>
    <w:tmpl w:val="36D85342"/>
    <w:lvl w:ilvl="0" w:tplc="FF76010A">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890067D"/>
    <w:multiLevelType w:val="multilevel"/>
    <w:tmpl w:val="8F821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9D81BFD"/>
    <w:multiLevelType w:val="hybridMultilevel"/>
    <w:tmpl w:val="C256E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2D3B44"/>
    <w:multiLevelType w:val="hybridMultilevel"/>
    <w:tmpl w:val="9A2626D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EE57B49"/>
    <w:multiLevelType w:val="hybridMultilevel"/>
    <w:tmpl w:val="C4940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1"/>
  </w:num>
  <w:num w:numId="6">
    <w:abstractNumId w:val="23"/>
  </w:num>
  <w:num w:numId="7">
    <w:abstractNumId w:val="29"/>
  </w:num>
  <w:num w:numId="8">
    <w:abstractNumId w:val="4"/>
  </w:num>
  <w:num w:numId="9">
    <w:abstractNumId w:val="30"/>
  </w:num>
  <w:num w:numId="10">
    <w:abstractNumId w:val="28"/>
  </w:num>
  <w:num w:numId="11">
    <w:abstractNumId w:val="0"/>
  </w:num>
  <w:num w:numId="12">
    <w:abstractNumId w:val="27"/>
  </w:num>
  <w:num w:numId="13">
    <w:abstractNumId w:val="5"/>
  </w:num>
  <w:num w:numId="14">
    <w:abstractNumId w:val="41"/>
  </w:num>
  <w:num w:numId="15">
    <w:abstractNumId w:val="18"/>
  </w:num>
  <w:num w:numId="16">
    <w:abstractNumId w:val="14"/>
  </w:num>
  <w:num w:numId="17">
    <w:abstractNumId w:val="7"/>
  </w:num>
  <w:num w:numId="18">
    <w:abstractNumId w:val="20"/>
  </w:num>
  <w:num w:numId="19">
    <w:abstractNumId w:val="8"/>
  </w:num>
  <w:num w:numId="20">
    <w:abstractNumId w:val="9"/>
  </w:num>
  <w:num w:numId="21">
    <w:abstractNumId w:val="31"/>
  </w:num>
  <w:num w:numId="22">
    <w:abstractNumId w:val="24"/>
  </w:num>
  <w:num w:numId="23">
    <w:abstractNumId w:val="12"/>
  </w:num>
  <w:num w:numId="24">
    <w:abstractNumId w:val="37"/>
  </w:num>
  <w:num w:numId="25">
    <w:abstractNumId w:val="3"/>
  </w:num>
  <w:num w:numId="26">
    <w:abstractNumId w:val="40"/>
  </w:num>
  <w:num w:numId="27">
    <w:abstractNumId w:val="15"/>
  </w:num>
  <w:num w:numId="28">
    <w:abstractNumId w:val="36"/>
  </w:num>
  <w:num w:numId="29">
    <w:abstractNumId w:val="6"/>
  </w:num>
  <w:num w:numId="30">
    <w:abstractNumId w:val="17"/>
  </w:num>
  <w:num w:numId="31">
    <w:abstractNumId w:val="38"/>
  </w:num>
  <w:num w:numId="32">
    <w:abstractNumId w:val="34"/>
  </w:num>
  <w:num w:numId="33">
    <w:abstractNumId w:val="33"/>
  </w:num>
  <w:num w:numId="34">
    <w:abstractNumId w:val="42"/>
  </w:num>
  <w:num w:numId="35">
    <w:abstractNumId w:val="35"/>
  </w:num>
  <w:num w:numId="36">
    <w:abstractNumId w:val="10"/>
  </w:num>
  <w:num w:numId="37">
    <w:abstractNumId w:val="1"/>
  </w:num>
  <w:num w:numId="38">
    <w:abstractNumId w:val="39"/>
  </w:num>
  <w:num w:numId="39">
    <w:abstractNumId w:val="22"/>
  </w:num>
  <w:num w:numId="40">
    <w:abstractNumId w:val="32"/>
  </w:num>
  <w:num w:numId="41">
    <w:abstractNumId w:val="25"/>
  </w:num>
  <w:num w:numId="42">
    <w:abstractNumId w:val="2"/>
  </w:num>
  <w:num w:numId="43">
    <w:abstractNumId w:val="11"/>
  </w:num>
  <w:num w:numId="44">
    <w:abstractNumId w:val="16"/>
  </w:num>
  <w:num w:numId="45">
    <w:abstractNumId w:val="19"/>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3"/>
    <w:rsid w:val="00002CFB"/>
    <w:rsid w:val="00004135"/>
    <w:rsid w:val="00010B0B"/>
    <w:rsid w:val="00011F19"/>
    <w:rsid w:val="00035401"/>
    <w:rsid w:val="00046E5C"/>
    <w:rsid w:val="00056456"/>
    <w:rsid w:val="00063687"/>
    <w:rsid w:val="00064489"/>
    <w:rsid w:val="00067828"/>
    <w:rsid w:val="0007234A"/>
    <w:rsid w:val="000779DD"/>
    <w:rsid w:val="0008510E"/>
    <w:rsid w:val="0008582A"/>
    <w:rsid w:val="000912C6"/>
    <w:rsid w:val="000913A5"/>
    <w:rsid w:val="000941D7"/>
    <w:rsid w:val="00110B9D"/>
    <w:rsid w:val="00112A1A"/>
    <w:rsid w:val="00126750"/>
    <w:rsid w:val="00131659"/>
    <w:rsid w:val="00134F0E"/>
    <w:rsid w:val="00135125"/>
    <w:rsid w:val="00135ACA"/>
    <w:rsid w:val="00137300"/>
    <w:rsid w:val="00155A27"/>
    <w:rsid w:val="00160651"/>
    <w:rsid w:val="00171A61"/>
    <w:rsid w:val="00187310"/>
    <w:rsid w:val="00187C8B"/>
    <w:rsid w:val="00193773"/>
    <w:rsid w:val="00194A98"/>
    <w:rsid w:val="00194C24"/>
    <w:rsid w:val="001A0DA6"/>
    <w:rsid w:val="001A13B0"/>
    <w:rsid w:val="001A2103"/>
    <w:rsid w:val="001A4343"/>
    <w:rsid w:val="001A6803"/>
    <w:rsid w:val="001B6326"/>
    <w:rsid w:val="001B7A58"/>
    <w:rsid w:val="001C2B9A"/>
    <w:rsid w:val="001D1013"/>
    <w:rsid w:val="001D6926"/>
    <w:rsid w:val="001F79ED"/>
    <w:rsid w:val="002072F7"/>
    <w:rsid w:val="0021484C"/>
    <w:rsid w:val="002371DF"/>
    <w:rsid w:val="0024143E"/>
    <w:rsid w:val="00250B49"/>
    <w:rsid w:val="0027048C"/>
    <w:rsid w:val="00272973"/>
    <w:rsid w:val="00275EED"/>
    <w:rsid w:val="00282BBF"/>
    <w:rsid w:val="00282DA3"/>
    <w:rsid w:val="00287FB8"/>
    <w:rsid w:val="00293D74"/>
    <w:rsid w:val="002A22C8"/>
    <w:rsid w:val="002A255B"/>
    <w:rsid w:val="002B5DCB"/>
    <w:rsid w:val="002D3B18"/>
    <w:rsid w:val="002D455E"/>
    <w:rsid w:val="002D5F4C"/>
    <w:rsid w:val="002E70BA"/>
    <w:rsid w:val="002F7D31"/>
    <w:rsid w:val="00301244"/>
    <w:rsid w:val="003037E4"/>
    <w:rsid w:val="0030747A"/>
    <w:rsid w:val="003163BC"/>
    <w:rsid w:val="00317716"/>
    <w:rsid w:val="00330219"/>
    <w:rsid w:val="00333C54"/>
    <w:rsid w:val="00334DA9"/>
    <w:rsid w:val="003360C5"/>
    <w:rsid w:val="0034250D"/>
    <w:rsid w:val="00353E6C"/>
    <w:rsid w:val="00364009"/>
    <w:rsid w:val="00370E9C"/>
    <w:rsid w:val="0037128B"/>
    <w:rsid w:val="003729E2"/>
    <w:rsid w:val="00375FA3"/>
    <w:rsid w:val="0038379C"/>
    <w:rsid w:val="00385F2A"/>
    <w:rsid w:val="00386B54"/>
    <w:rsid w:val="00393D20"/>
    <w:rsid w:val="003951B0"/>
    <w:rsid w:val="00395F0B"/>
    <w:rsid w:val="00397F48"/>
    <w:rsid w:val="003B2C17"/>
    <w:rsid w:val="003B4054"/>
    <w:rsid w:val="003C7579"/>
    <w:rsid w:val="003D0C8B"/>
    <w:rsid w:val="003D1D72"/>
    <w:rsid w:val="003D6C6C"/>
    <w:rsid w:val="003E3C25"/>
    <w:rsid w:val="003E577C"/>
    <w:rsid w:val="003F1FD3"/>
    <w:rsid w:val="003F7355"/>
    <w:rsid w:val="004053F0"/>
    <w:rsid w:val="004068D3"/>
    <w:rsid w:val="00412D0E"/>
    <w:rsid w:val="004154BA"/>
    <w:rsid w:val="00416DF1"/>
    <w:rsid w:val="00417DB1"/>
    <w:rsid w:val="0042749F"/>
    <w:rsid w:val="0043155E"/>
    <w:rsid w:val="004364BF"/>
    <w:rsid w:val="00457D30"/>
    <w:rsid w:val="00471A6E"/>
    <w:rsid w:val="00474B85"/>
    <w:rsid w:val="0047737A"/>
    <w:rsid w:val="00493A74"/>
    <w:rsid w:val="004A7D1D"/>
    <w:rsid w:val="004B2EF8"/>
    <w:rsid w:val="004B37FE"/>
    <w:rsid w:val="004D3889"/>
    <w:rsid w:val="004D4FF0"/>
    <w:rsid w:val="004E0BBB"/>
    <w:rsid w:val="0050468C"/>
    <w:rsid w:val="00504EEA"/>
    <w:rsid w:val="00505FAF"/>
    <w:rsid w:val="00510E90"/>
    <w:rsid w:val="005136F8"/>
    <w:rsid w:val="005145BB"/>
    <w:rsid w:val="00514BB9"/>
    <w:rsid w:val="00520629"/>
    <w:rsid w:val="00524D6E"/>
    <w:rsid w:val="00526BC7"/>
    <w:rsid w:val="00536A78"/>
    <w:rsid w:val="00547D76"/>
    <w:rsid w:val="0055076A"/>
    <w:rsid w:val="00562192"/>
    <w:rsid w:val="0057401E"/>
    <w:rsid w:val="00583017"/>
    <w:rsid w:val="005A1134"/>
    <w:rsid w:val="005A243F"/>
    <w:rsid w:val="005B13FC"/>
    <w:rsid w:val="005B5AEA"/>
    <w:rsid w:val="005C240E"/>
    <w:rsid w:val="005C557F"/>
    <w:rsid w:val="005D6728"/>
    <w:rsid w:val="005E4112"/>
    <w:rsid w:val="005F1C95"/>
    <w:rsid w:val="0060144C"/>
    <w:rsid w:val="00602140"/>
    <w:rsid w:val="006033D5"/>
    <w:rsid w:val="00604969"/>
    <w:rsid w:val="00614174"/>
    <w:rsid w:val="00615E99"/>
    <w:rsid w:val="0063604A"/>
    <w:rsid w:val="006406B4"/>
    <w:rsid w:val="006436BF"/>
    <w:rsid w:val="00651685"/>
    <w:rsid w:val="00652152"/>
    <w:rsid w:val="00652B12"/>
    <w:rsid w:val="0066679A"/>
    <w:rsid w:val="00670CF9"/>
    <w:rsid w:val="00677E3B"/>
    <w:rsid w:val="006926A5"/>
    <w:rsid w:val="00692915"/>
    <w:rsid w:val="00697FD8"/>
    <w:rsid w:val="006B58E2"/>
    <w:rsid w:val="006D267C"/>
    <w:rsid w:val="006D52B5"/>
    <w:rsid w:val="006D5D36"/>
    <w:rsid w:val="006E1D00"/>
    <w:rsid w:val="006E3BE1"/>
    <w:rsid w:val="006F3403"/>
    <w:rsid w:val="0070134B"/>
    <w:rsid w:val="0070526B"/>
    <w:rsid w:val="007161D2"/>
    <w:rsid w:val="0071694A"/>
    <w:rsid w:val="007207AC"/>
    <w:rsid w:val="007228CB"/>
    <w:rsid w:val="00731464"/>
    <w:rsid w:val="00743E85"/>
    <w:rsid w:val="007501EE"/>
    <w:rsid w:val="007704B6"/>
    <w:rsid w:val="007724F8"/>
    <w:rsid w:val="00777329"/>
    <w:rsid w:val="007778DA"/>
    <w:rsid w:val="00777CE7"/>
    <w:rsid w:val="00782215"/>
    <w:rsid w:val="007846E7"/>
    <w:rsid w:val="007849F0"/>
    <w:rsid w:val="007979E7"/>
    <w:rsid w:val="007A7AD5"/>
    <w:rsid w:val="007C6D2D"/>
    <w:rsid w:val="007E00C0"/>
    <w:rsid w:val="007F1A5E"/>
    <w:rsid w:val="007F331C"/>
    <w:rsid w:val="007F535F"/>
    <w:rsid w:val="00803994"/>
    <w:rsid w:val="00813932"/>
    <w:rsid w:val="00822F0F"/>
    <w:rsid w:val="00826AB7"/>
    <w:rsid w:val="00840545"/>
    <w:rsid w:val="00846416"/>
    <w:rsid w:val="00853D94"/>
    <w:rsid w:val="008573CA"/>
    <w:rsid w:val="008738AB"/>
    <w:rsid w:val="0088388F"/>
    <w:rsid w:val="008B5979"/>
    <w:rsid w:val="008B5D33"/>
    <w:rsid w:val="008B7E34"/>
    <w:rsid w:val="008C14F5"/>
    <w:rsid w:val="008C14F7"/>
    <w:rsid w:val="008C63CB"/>
    <w:rsid w:val="008D7500"/>
    <w:rsid w:val="008E4E63"/>
    <w:rsid w:val="008E53FA"/>
    <w:rsid w:val="008E5549"/>
    <w:rsid w:val="00924EE4"/>
    <w:rsid w:val="00925A98"/>
    <w:rsid w:val="009436E1"/>
    <w:rsid w:val="00951E83"/>
    <w:rsid w:val="00955D82"/>
    <w:rsid w:val="009646F9"/>
    <w:rsid w:val="00966AD6"/>
    <w:rsid w:val="00983815"/>
    <w:rsid w:val="00991F09"/>
    <w:rsid w:val="00993CF0"/>
    <w:rsid w:val="00997510"/>
    <w:rsid w:val="009A3EB8"/>
    <w:rsid w:val="009B0339"/>
    <w:rsid w:val="009B3C0A"/>
    <w:rsid w:val="009B48C4"/>
    <w:rsid w:val="009B5A9A"/>
    <w:rsid w:val="009C42DA"/>
    <w:rsid w:val="009C520D"/>
    <w:rsid w:val="009D2B7B"/>
    <w:rsid w:val="009D68F1"/>
    <w:rsid w:val="009E7322"/>
    <w:rsid w:val="00A1001A"/>
    <w:rsid w:val="00A21629"/>
    <w:rsid w:val="00A27C3A"/>
    <w:rsid w:val="00A3257F"/>
    <w:rsid w:val="00A54545"/>
    <w:rsid w:val="00A60FC1"/>
    <w:rsid w:val="00A62794"/>
    <w:rsid w:val="00A6386C"/>
    <w:rsid w:val="00A66484"/>
    <w:rsid w:val="00A67348"/>
    <w:rsid w:val="00A67F42"/>
    <w:rsid w:val="00A737F5"/>
    <w:rsid w:val="00A739DD"/>
    <w:rsid w:val="00A7565F"/>
    <w:rsid w:val="00A84E62"/>
    <w:rsid w:val="00A85144"/>
    <w:rsid w:val="00A90D57"/>
    <w:rsid w:val="00A92073"/>
    <w:rsid w:val="00A95BFE"/>
    <w:rsid w:val="00AA7B1C"/>
    <w:rsid w:val="00AA7BCD"/>
    <w:rsid w:val="00AB222D"/>
    <w:rsid w:val="00AC25CE"/>
    <w:rsid w:val="00AC3E28"/>
    <w:rsid w:val="00AC4EA8"/>
    <w:rsid w:val="00AC57DD"/>
    <w:rsid w:val="00AE11A4"/>
    <w:rsid w:val="00AE218A"/>
    <w:rsid w:val="00B02777"/>
    <w:rsid w:val="00B07283"/>
    <w:rsid w:val="00B228EA"/>
    <w:rsid w:val="00B557FF"/>
    <w:rsid w:val="00B60FA1"/>
    <w:rsid w:val="00B70357"/>
    <w:rsid w:val="00B71801"/>
    <w:rsid w:val="00B7628C"/>
    <w:rsid w:val="00B87FCC"/>
    <w:rsid w:val="00B91CEC"/>
    <w:rsid w:val="00B96906"/>
    <w:rsid w:val="00BA2755"/>
    <w:rsid w:val="00BA4274"/>
    <w:rsid w:val="00BC0F36"/>
    <w:rsid w:val="00BD150F"/>
    <w:rsid w:val="00BE195F"/>
    <w:rsid w:val="00BF02FE"/>
    <w:rsid w:val="00BF1E09"/>
    <w:rsid w:val="00BF34D3"/>
    <w:rsid w:val="00BF6D30"/>
    <w:rsid w:val="00C04631"/>
    <w:rsid w:val="00C07106"/>
    <w:rsid w:val="00C16182"/>
    <w:rsid w:val="00C22A0A"/>
    <w:rsid w:val="00C30D9A"/>
    <w:rsid w:val="00C31B85"/>
    <w:rsid w:val="00C36213"/>
    <w:rsid w:val="00C52ECD"/>
    <w:rsid w:val="00C67A9A"/>
    <w:rsid w:val="00C67F6D"/>
    <w:rsid w:val="00C72365"/>
    <w:rsid w:val="00C926C9"/>
    <w:rsid w:val="00C96653"/>
    <w:rsid w:val="00CB1A1C"/>
    <w:rsid w:val="00CC08E9"/>
    <w:rsid w:val="00CC2BA0"/>
    <w:rsid w:val="00CC78B0"/>
    <w:rsid w:val="00CC7D04"/>
    <w:rsid w:val="00CD05A2"/>
    <w:rsid w:val="00CD424C"/>
    <w:rsid w:val="00CD6067"/>
    <w:rsid w:val="00CE0C63"/>
    <w:rsid w:val="00CE396C"/>
    <w:rsid w:val="00CE705A"/>
    <w:rsid w:val="00CE7156"/>
    <w:rsid w:val="00D068B2"/>
    <w:rsid w:val="00D13FA1"/>
    <w:rsid w:val="00D155FD"/>
    <w:rsid w:val="00D17D0B"/>
    <w:rsid w:val="00D272BA"/>
    <w:rsid w:val="00D33AB4"/>
    <w:rsid w:val="00D36001"/>
    <w:rsid w:val="00D360CB"/>
    <w:rsid w:val="00D504EF"/>
    <w:rsid w:val="00D601DC"/>
    <w:rsid w:val="00D611C4"/>
    <w:rsid w:val="00D61E08"/>
    <w:rsid w:val="00D65DB8"/>
    <w:rsid w:val="00D72D92"/>
    <w:rsid w:val="00D8324A"/>
    <w:rsid w:val="00D92E3C"/>
    <w:rsid w:val="00DA471B"/>
    <w:rsid w:val="00DA7AE2"/>
    <w:rsid w:val="00DA7F2E"/>
    <w:rsid w:val="00DA7F48"/>
    <w:rsid w:val="00DB4D55"/>
    <w:rsid w:val="00DB5C84"/>
    <w:rsid w:val="00DB7781"/>
    <w:rsid w:val="00DC2AA0"/>
    <w:rsid w:val="00DC3B73"/>
    <w:rsid w:val="00DD3222"/>
    <w:rsid w:val="00DD6218"/>
    <w:rsid w:val="00DE07F4"/>
    <w:rsid w:val="00DE4BCD"/>
    <w:rsid w:val="00DF2CEF"/>
    <w:rsid w:val="00DF3A3F"/>
    <w:rsid w:val="00DF50A8"/>
    <w:rsid w:val="00DF5F7C"/>
    <w:rsid w:val="00DF7BEA"/>
    <w:rsid w:val="00E0619B"/>
    <w:rsid w:val="00E112B8"/>
    <w:rsid w:val="00E27E35"/>
    <w:rsid w:val="00E33D50"/>
    <w:rsid w:val="00E360AE"/>
    <w:rsid w:val="00E40903"/>
    <w:rsid w:val="00E53532"/>
    <w:rsid w:val="00E61F2F"/>
    <w:rsid w:val="00E627AA"/>
    <w:rsid w:val="00E644A0"/>
    <w:rsid w:val="00E73A52"/>
    <w:rsid w:val="00E73DB8"/>
    <w:rsid w:val="00E80790"/>
    <w:rsid w:val="00E962DD"/>
    <w:rsid w:val="00EA3DAE"/>
    <w:rsid w:val="00EA4F7D"/>
    <w:rsid w:val="00EA637E"/>
    <w:rsid w:val="00EA65B0"/>
    <w:rsid w:val="00EB12EC"/>
    <w:rsid w:val="00EB6370"/>
    <w:rsid w:val="00EB7B52"/>
    <w:rsid w:val="00ED152B"/>
    <w:rsid w:val="00ED5B59"/>
    <w:rsid w:val="00EE00D1"/>
    <w:rsid w:val="00EE4283"/>
    <w:rsid w:val="00F065BD"/>
    <w:rsid w:val="00F157FC"/>
    <w:rsid w:val="00F20DD5"/>
    <w:rsid w:val="00F25F64"/>
    <w:rsid w:val="00F30A18"/>
    <w:rsid w:val="00F3698C"/>
    <w:rsid w:val="00F577B0"/>
    <w:rsid w:val="00F62D29"/>
    <w:rsid w:val="00F64454"/>
    <w:rsid w:val="00F75D2C"/>
    <w:rsid w:val="00F9046A"/>
    <w:rsid w:val="00FA00C1"/>
    <w:rsid w:val="00FB0BE4"/>
    <w:rsid w:val="00FB23DA"/>
    <w:rsid w:val="00FB46CA"/>
    <w:rsid w:val="00FC53DC"/>
    <w:rsid w:val="00FD79DE"/>
    <w:rsid w:val="00FF5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383">
      <w:bodyDiv w:val="1"/>
      <w:marLeft w:val="0"/>
      <w:marRight w:val="0"/>
      <w:marTop w:val="0"/>
      <w:marBottom w:val="0"/>
      <w:divBdr>
        <w:top w:val="none" w:sz="0" w:space="0" w:color="auto"/>
        <w:left w:val="none" w:sz="0" w:space="0" w:color="auto"/>
        <w:bottom w:val="none" w:sz="0" w:space="0" w:color="auto"/>
        <w:right w:val="none" w:sz="0" w:space="0" w:color="auto"/>
      </w:divBdr>
    </w:div>
    <w:div w:id="1436366876">
      <w:marLeft w:val="0"/>
      <w:marRight w:val="0"/>
      <w:marTop w:val="0"/>
      <w:marBottom w:val="0"/>
      <w:divBdr>
        <w:top w:val="none" w:sz="0" w:space="0" w:color="auto"/>
        <w:left w:val="none" w:sz="0" w:space="0" w:color="auto"/>
        <w:bottom w:val="none" w:sz="0" w:space="0" w:color="auto"/>
        <w:right w:val="none" w:sz="0" w:space="0" w:color="auto"/>
      </w:divBdr>
    </w:div>
    <w:div w:id="1436366877">
      <w:marLeft w:val="0"/>
      <w:marRight w:val="0"/>
      <w:marTop w:val="0"/>
      <w:marBottom w:val="0"/>
      <w:divBdr>
        <w:top w:val="none" w:sz="0" w:space="0" w:color="auto"/>
        <w:left w:val="none" w:sz="0" w:space="0" w:color="auto"/>
        <w:bottom w:val="none" w:sz="0" w:space="0" w:color="auto"/>
        <w:right w:val="none" w:sz="0" w:space="0" w:color="auto"/>
      </w:divBdr>
    </w:div>
    <w:div w:id="1436366878">
      <w:marLeft w:val="0"/>
      <w:marRight w:val="0"/>
      <w:marTop w:val="0"/>
      <w:marBottom w:val="0"/>
      <w:divBdr>
        <w:top w:val="none" w:sz="0" w:space="0" w:color="auto"/>
        <w:left w:val="none" w:sz="0" w:space="0" w:color="auto"/>
        <w:bottom w:val="none" w:sz="0" w:space="0" w:color="auto"/>
        <w:right w:val="none" w:sz="0" w:space="0" w:color="auto"/>
      </w:divBdr>
    </w:div>
    <w:div w:id="1436366879">
      <w:marLeft w:val="0"/>
      <w:marRight w:val="0"/>
      <w:marTop w:val="0"/>
      <w:marBottom w:val="0"/>
      <w:divBdr>
        <w:top w:val="none" w:sz="0" w:space="0" w:color="auto"/>
        <w:left w:val="none" w:sz="0" w:space="0" w:color="auto"/>
        <w:bottom w:val="none" w:sz="0" w:space="0" w:color="auto"/>
        <w:right w:val="none" w:sz="0" w:space="0" w:color="auto"/>
      </w:divBdr>
    </w:div>
    <w:div w:id="1436366880">
      <w:marLeft w:val="0"/>
      <w:marRight w:val="0"/>
      <w:marTop w:val="0"/>
      <w:marBottom w:val="0"/>
      <w:divBdr>
        <w:top w:val="none" w:sz="0" w:space="0" w:color="auto"/>
        <w:left w:val="none" w:sz="0" w:space="0" w:color="auto"/>
        <w:bottom w:val="none" w:sz="0" w:space="0" w:color="auto"/>
        <w:right w:val="none" w:sz="0" w:space="0" w:color="auto"/>
      </w:divBdr>
    </w:div>
    <w:div w:id="1436366881">
      <w:marLeft w:val="0"/>
      <w:marRight w:val="0"/>
      <w:marTop w:val="0"/>
      <w:marBottom w:val="0"/>
      <w:divBdr>
        <w:top w:val="none" w:sz="0" w:space="0" w:color="auto"/>
        <w:left w:val="none" w:sz="0" w:space="0" w:color="auto"/>
        <w:bottom w:val="none" w:sz="0" w:space="0" w:color="auto"/>
        <w:right w:val="none" w:sz="0" w:space="0" w:color="auto"/>
      </w:divBdr>
    </w:div>
    <w:div w:id="1436366882">
      <w:marLeft w:val="0"/>
      <w:marRight w:val="0"/>
      <w:marTop w:val="0"/>
      <w:marBottom w:val="0"/>
      <w:divBdr>
        <w:top w:val="none" w:sz="0" w:space="0" w:color="auto"/>
        <w:left w:val="none" w:sz="0" w:space="0" w:color="auto"/>
        <w:bottom w:val="none" w:sz="0" w:space="0" w:color="auto"/>
        <w:right w:val="none" w:sz="0" w:space="0" w:color="auto"/>
      </w:divBdr>
    </w:div>
    <w:div w:id="1436366883">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43636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C6E5-18DD-4703-8C6C-FEDF86B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GUIA GENERAL PARA LA FORMULACION DE PROYECTOS DE INVERSION</vt:lpstr>
    </vt:vector>
  </TitlesOfParts>
  <Company>Microsoft</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GENERAL PARA LA FORMULACION DE PROYECTOS DE INVERSION</dc:title>
  <dc:creator>Guillermo</dc:creator>
  <cp:lastModifiedBy>Martha lucia</cp:lastModifiedBy>
  <cp:revision>3</cp:revision>
  <cp:lastPrinted>2012-10-17T04:28:00Z</cp:lastPrinted>
  <dcterms:created xsi:type="dcterms:W3CDTF">2013-03-20T12:39:00Z</dcterms:created>
  <dcterms:modified xsi:type="dcterms:W3CDTF">2013-03-20T12:42:00Z</dcterms:modified>
</cp:coreProperties>
</file>